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04E6" w14:textId="77777777" w:rsidR="001855D2" w:rsidRDefault="001855D2">
      <w:pPr>
        <w:widowControl w:val="0"/>
        <w:autoSpaceDE w:val="0"/>
        <w:autoSpaceDN w:val="0"/>
        <w:adjustRightInd w:val="0"/>
        <w:rPr>
          <w:rFonts w:ascii="Times New Roman" w:hAnsi="Times New Roman" w:cs="Times New Roman"/>
          <w:color w:val="000000"/>
        </w:rPr>
      </w:pPr>
    </w:p>
    <w:p w14:paraId="553BB270" w14:textId="77777777" w:rsidR="001855D2" w:rsidRDefault="001855D2">
      <w:pPr>
        <w:widowControl w:val="0"/>
        <w:autoSpaceDE w:val="0"/>
        <w:autoSpaceDN w:val="0"/>
        <w:adjustRightInd w:val="0"/>
        <w:rPr>
          <w:rFonts w:ascii="Arial" w:hAnsi="Arial" w:cs="Arial"/>
        </w:rPr>
        <w:sectPr w:rsidR="001855D2">
          <w:headerReference w:type="default" r:id="rId6"/>
          <w:footerReference w:type="default" r:id="rId7"/>
          <w:pgSz w:w="12240" w:h="15840"/>
          <w:pgMar w:top="1080" w:right="1080" w:bottom="1080" w:left="1080" w:header="720" w:footer="720" w:gutter="0"/>
          <w:cols w:space="720"/>
          <w:noEndnote/>
        </w:sectPr>
      </w:pPr>
    </w:p>
    <w:p w14:paraId="6E394615"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bookmarkStart w:id="0" w:name="co_document_1"/>
      <w:bookmarkStart w:id="1" w:name="I06415e10744711ec80a0dd05b5817251_Target"/>
      <w:bookmarkEnd w:id="0"/>
      <w:bookmarkEnd w:id="1"/>
    </w:p>
    <w:p w14:paraId="264273D7" w14:textId="77777777" w:rsidR="001855D2" w:rsidRDefault="005A740A">
      <w:pPr>
        <w:widowControl w:val="0"/>
        <w:autoSpaceDE w:val="0"/>
        <w:autoSpaceDN w:val="0"/>
        <w:adjustRightInd w:val="0"/>
        <w:spacing w:before="100"/>
        <w:jc w:val="center"/>
        <w:rPr>
          <w:rFonts w:ascii="Georgia" w:hAnsi="Georgia" w:cs="Georgia"/>
          <w:color w:val="000000"/>
          <w:sz w:val="20"/>
          <w:szCs w:val="20"/>
        </w:rPr>
      </w:pPr>
      <w:r>
        <w:rPr>
          <w:rFonts w:ascii="Georgia" w:hAnsi="Georgia" w:cs="Georgia"/>
          <w:color w:val="000000"/>
          <w:sz w:val="20"/>
          <w:szCs w:val="20"/>
        </w:rPr>
        <w:t>2022 WL 111246</w:t>
      </w:r>
    </w:p>
    <w:p w14:paraId="5E62BB45" w14:textId="77777777" w:rsidR="001855D2" w:rsidRDefault="005A740A">
      <w:pPr>
        <w:widowControl w:val="0"/>
        <w:autoSpaceDE w:val="0"/>
        <w:autoSpaceDN w:val="0"/>
        <w:adjustRightInd w:val="0"/>
        <w:jc w:val="center"/>
        <w:rPr>
          <w:rFonts w:ascii="Georgia" w:hAnsi="Georgia" w:cs="Georgia"/>
          <w:color w:val="000000"/>
          <w:sz w:val="20"/>
          <w:szCs w:val="20"/>
        </w:rPr>
      </w:pPr>
      <w:r>
        <w:rPr>
          <w:rFonts w:ascii="Georgia" w:hAnsi="Georgia" w:cs="Georgia"/>
          <w:color w:val="000000"/>
          <w:sz w:val="20"/>
          <w:szCs w:val="20"/>
        </w:rPr>
        <w:t>Only the Westlaw citation is currently available.</w:t>
      </w:r>
    </w:p>
    <w:p w14:paraId="0CB740CD" w14:textId="77777777" w:rsidR="001855D2" w:rsidRDefault="005A740A">
      <w:pPr>
        <w:widowControl w:val="0"/>
        <w:autoSpaceDE w:val="0"/>
        <w:autoSpaceDN w:val="0"/>
        <w:adjustRightInd w:val="0"/>
        <w:jc w:val="center"/>
        <w:rPr>
          <w:rFonts w:ascii="Georgia" w:hAnsi="Georgia" w:cs="Georgia"/>
          <w:color w:val="000000"/>
          <w:sz w:val="20"/>
          <w:szCs w:val="20"/>
        </w:rPr>
      </w:pPr>
      <w:r>
        <w:rPr>
          <w:rFonts w:ascii="Georgia" w:hAnsi="Georgia" w:cs="Georgia"/>
          <w:color w:val="000000"/>
          <w:sz w:val="20"/>
          <w:szCs w:val="20"/>
        </w:rPr>
        <w:t>United States District Court, District of Columbia.</w:t>
      </w:r>
    </w:p>
    <w:p w14:paraId="6D3DC02D" w14:textId="77777777" w:rsidR="001855D2" w:rsidRDefault="005A740A">
      <w:pPr>
        <w:widowControl w:val="0"/>
        <w:autoSpaceDE w:val="0"/>
        <w:autoSpaceDN w:val="0"/>
        <w:adjustRightInd w:val="0"/>
        <w:spacing w:before="240"/>
        <w:ind w:left="120" w:right="120"/>
        <w:jc w:val="center"/>
        <w:rPr>
          <w:rFonts w:ascii="Georgia" w:hAnsi="Georgia" w:cs="Georgia"/>
          <w:color w:val="252525"/>
        </w:rPr>
      </w:pPr>
      <w:r>
        <w:rPr>
          <w:rFonts w:ascii="Georgia" w:hAnsi="Georgia" w:cs="Georgia"/>
          <w:color w:val="252525"/>
        </w:rPr>
        <w:t>BUFFALO FIELD CAMPAIGN, et al., Plaintiffs,</w:t>
      </w:r>
    </w:p>
    <w:p w14:paraId="75027807" w14:textId="77777777" w:rsidR="001855D2" w:rsidRDefault="005A740A">
      <w:pPr>
        <w:widowControl w:val="0"/>
        <w:autoSpaceDE w:val="0"/>
        <w:autoSpaceDN w:val="0"/>
        <w:adjustRightInd w:val="0"/>
        <w:ind w:left="120" w:right="120"/>
        <w:jc w:val="center"/>
        <w:rPr>
          <w:rFonts w:ascii="Georgia" w:hAnsi="Georgia" w:cs="Georgia"/>
          <w:color w:val="252525"/>
        </w:rPr>
      </w:pPr>
      <w:r>
        <w:rPr>
          <w:rFonts w:ascii="Georgia" w:hAnsi="Georgia" w:cs="Georgia"/>
          <w:color w:val="252525"/>
        </w:rPr>
        <w:t>v.</w:t>
      </w:r>
    </w:p>
    <w:p w14:paraId="7AC3A425" w14:textId="77777777" w:rsidR="001855D2" w:rsidRDefault="005A740A">
      <w:pPr>
        <w:widowControl w:val="0"/>
        <w:autoSpaceDE w:val="0"/>
        <w:autoSpaceDN w:val="0"/>
        <w:adjustRightInd w:val="0"/>
        <w:spacing w:after="240"/>
        <w:ind w:left="120" w:right="120"/>
        <w:jc w:val="center"/>
        <w:rPr>
          <w:rFonts w:ascii="Georgia" w:hAnsi="Georgia" w:cs="Georgia"/>
          <w:color w:val="252525"/>
        </w:rPr>
      </w:pPr>
      <w:r>
        <w:rPr>
          <w:rFonts w:ascii="Georgia" w:hAnsi="Georgia" w:cs="Georgia"/>
          <w:color w:val="252525"/>
        </w:rPr>
        <w:t>Martha WILLIAMS,</w:t>
      </w:r>
      <w:bookmarkStart w:id="2" w:name="co_fnRef_B00012055372206_ID0EJF_1"/>
      <w:bookmarkEnd w:id="2"/>
      <w:r>
        <w:rPr>
          <w:rFonts w:ascii="Georgia" w:hAnsi="Georgia" w:cs="Georgia"/>
          <w:color w:val="252525"/>
          <w:sz w:val="20"/>
          <w:szCs w:val="20"/>
        </w:rPr>
        <w:fldChar w:fldCharType="begin"/>
      </w:r>
      <w:r>
        <w:rPr>
          <w:rFonts w:ascii="Georgia" w:hAnsi="Georgia" w:cs="Georgia"/>
          <w:color w:val="252525"/>
          <w:sz w:val="20"/>
          <w:szCs w:val="20"/>
        </w:rPr>
        <w:instrText xml:space="preserve">HYPERLINK "#co_footnote_B00012055372206_1" </w:instrText>
      </w:r>
      <w:r>
        <w:rPr>
          <w:rFonts w:ascii="Georgia" w:hAnsi="Georgia" w:cs="Georgia"/>
          <w:color w:val="252525"/>
          <w:sz w:val="20"/>
          <w:szCs w:val="20"/>
        </w:rPr>
        <w:fldChar w:fldCharType="separate"/>
      </w:r>
      <w:r>
        <w:rPr>
          <w:rFonts w:ascii="Georgia" w:hAnsi="Georgia" w:cs="Georgia"/>
          <w:color w:val="0E568C"/>
          <w:sz w:val="20"/>
          <w:szCs w:val="20"/>
          <w:vertAlign w:val="superscript"/>
        </w:rPr>
        <w:t>1</w:t>
      </w:r>
      <w:r>
        <w:rPr>
          <w:rFonts w:ascii="Georgia" w:hAnsi="Georgia" w:cs="Georgia"/>
          <w:color w:val="252525"/>
          <w:sz w:val="20"/>
          <w:szCs w:val="20"/>
        </w:rPr>
        <w:fldChar w:fldCharType="end"/>
      </w:r>
      <w:r>
        <w:rPr>
          <w:rFonts w:ascii="Georgia" w:hAnsi="Georgia" w:cs="Georgia"/>
          <w:color w:val="252525"/>
        </w:rPr>
        <w:t xml:space="preserve"> et al., Defendants.</w:t>
      </w:r>
    </w:p>
    <w:p w14:paraId="3E7D062B" w14:textId="77777777" w:rsidR="001855D2" w:rsidRDefault="005A740A">
      <w:pPr>
        <w:widowControl w:val="0"/>
        <w:autoSpaceDE w:val="0"/>
        <w:autoSpaceDN w:val="0"/>
        <w:adjustRightInd w:val="0"/>
        <w:ind w:left="200"/>
        <w:jc w:val="center"/>
        <w:rPr>
          <w:rFonts w:ascii="Georgia" w:hAnsi="Georgia" w:cs="Georgia"/>
          <w:color w:val="000000"/>
          <w:sz w:val="20"/>
          <w:szCs w:val="20"/>
        </w:rPr>
      </w:pPr>
      <w:r>
        <w:rPr>
          <w:rFonts w:ascii="Georgia" w:hAnsi="Georgia" w:cs="Georgia"/>
          <w:color w:val="000000"/>
          <w:sz w:val="20"/>
          <w:szCs w:val="20"/>
        </w:rPr>
        <w:t>Civil Action No. 20-798 (RDM)</w:t>
      </w:r>
    </w:p>
    <w:p w14:paraId="5D627AA8" w14:textId="77777777" w:rsidR="001855D2" w:rsidRDefault="005A740A">
      <w:pPr>
        <w:widowControl w:val="0"/>
        <w:autoSpaceDE w:val="0"/>
        <w:autoSpaceDN w:val="0"/>
        <w:adjustRightInd w:val="0"/>
        <w:ind w:left="200"/>
        <w:jc w:val="center"/>
        <w:rPr>
          <w:rFonts w:ascii="Georgia" w:hAnsi="Georgia" w:cs="Georgia"/>
          <w:color w:val="000000"/>
          <w:sz w:val="20"/>
          <w:szCs w:val="20"/>
        </w:rPr>
      </w:pPr>
      <w:r>
        <w:rPr>
          <w:rFonts w:ascii="Georgia" w:hAnsi="Georgia" w:cs="Georgia"/>
          <w:color w:val="000000"/>
          <w:sz w:val="20"/>
          <w:szCs w:val="20"/>
        </w:rPr>
        <w:t>|</w:t>
      </w:r>
    </w:p>
    <w:p w14:paraId="26087379" w14:textId="77777777" w:rsidR="001855D2" w:rsidRDefault="005A740A">
      <w:pPr>
        <w:widowControl w:val="0"/>
        <w:autoSpaceDE w:val="0"/>
        <w:autoSpaceDN w:val="0"/>
        <w:adjustRightInd w:val="0"/>
        <w:spacing w:after="200"/>
        <w:ind w:left="200"/>
        <w:jc w:val="center"/>
        <w:rPr>
          <w:rFonts w:ascii="Georgia" w:hAnsi="Georgia" w:cs="Georgia"/>
          <w:color w:val="000000"/>
          <w:sz w:val="20"/>
          <w:szCs w:val="20"/>
        </w:rPr>
      </w:pPr>
      <w:r>
        <w:rPr>
          <w:rFonts w:ascii="Georgia" w:hAnsi="Georgia" w:cs="Georgia"/>
          <w:color w:val="000000"/>
          <w:sz w:val="20"/>
          <w:szCs w:val="20"/>
        </w:rPr>
        <w:t>Signed 01/12/2022</w:t>
      </w:r>
    </w:p>
    <w:p w14:paraId="2D42A6C6" w14:textId="77777777" w:rsidR="001855D2" w:rsidRDefault="005A740A">
      <w:pPr>
        <w:widowControl w:val="0"/>
        <w:autoSpaceDE w:val="0"/>
        <w:autoSpaceDN w:val="0"/>
        <w:adjustRightInd w:val="0"/>
        <w:spacing w:before="200" w:after="200"/>
        <w:jc w:val="both"/>
        <w:rPr>
          <w:rFonts w:ascii="Times New Roman" w:hAnsi="Times New Roman" w:cs="Times New Roman"/>
          <w:b/>
          <w:bCs/>
          <w:color w:val="212121"/>
          <w:sz w:val="20"/>
          <w:szCs w:val="20"/>
        </w:rPr>
      </w:pPr>
      <w:bookmarkStart w:id="3" w:name="co_attorneysAndLawFirms_1"/>
      <w:bookmarkEnd w:id="3"/>
      <w:r>
        <w:rPr>
          <w:rFonts w:ascii="Times New Roman" w:hAnsi="Times New Roman" w:cs="Times New Roman"/>
          <w:b/>
          <w:bCs/>
          <w:color w:val="212121"/>
          <w:sz w:val="20"/>
          <w:szCs w:val="20"/>
        </w:rPr>
        <w:t>Attorneys and Law Firms</w:t>
      </w:r>
    </w:p>
    <w:p w14:paraId="7104CE25"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Michael Ray Harris, Friends of Animals, Centennial, CO, for Plaintiffs Buffalo Field Campaign, Western Watersheds Project, Friends of Animals.</w:t>
      </w:r>
    </w:p>
    <w:p w14:paraId="606567F0" w14:textId="77777777" w:rsidR="001855D2" w:rsidRDefault="005A740A">
      <w:pPr>
        <w:widowControl w:val="0"/>
        <w:autoSpaceDE w:val="0"/>
        <w:autoSpaceDN w:val="0"/>
        <w:adjustRightInd w:val="0"/>
        <w:spacing w:before="200"/>
        <w:jc w:val="both"/>
        <w:rPr>
          <w:rFonts w:ascii="Times New Roman" w:hAnsi="Times New Roman" w:cs="Times New Roman"/>
          <w:color w:val="000000"/>
          <w:sz w:val="20"/>
          <w:szCs w:val="20"/>
        </w:rPr>
      </w:pPr>
      <w:r>
        <w:rPr>
          <w:rFonts w:ascii="Times New Roman" w:hAnsi="Times New Roman" w:cs="Times New Roman"/>
          <w:color w:val="000000"/>
          <w:sz w:val="20"/>
          <w:szCs w:val="20"/>
        </w:rPr>
        <w:t>Frederick Harter Turner, U.S. Department of Justice, Environment and Natural Resources Division, Washington, DC, for Defendants.</w:t>
      </w:r>
    </w:p>
    <w:p w14:paraId="2D513DD4" w14:textId="77777777" w:rsidR="001855D2" w:rsidRDefault="001855D2">
      <w:pPr>
        <w:widowControl w:val="0"/>
        <w:autoSpaceDE w:val="0"/>
        <w:autoSpaceDN w:val="0"/>
        <w:adjustRightInd w:val="0"/>
        <w:jc w:val="both"/>
        <w:rPr>
          <w:rFonts w:ascii="Times New Roman" w:hAnsi="Times New Roman" w:cs="Times New Roman"/>
          <w:b/>
          <w:bCs/>
          <w:color w:val="212121"/>
          <w:sz w:val="20"/>
          <w:szCs w:val="20"/>
        </w:rPr>
      </w:pPr>
      <w:bookmarkStart w:id="4" w:name="co_opinion_1"/>
      <w:bookmarkEnd w:id="4"/>
    </w:p>
    <w:p w14:paraId="20BDA71D"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bookmarkStart w:id="5" w:name="co_anchor_I011e86927ac011ec9d2cf9521495b"/>
      <w:bookmarkEnd w:id="5"/>
    </w:p>
    <w:p w14:paraId="26C0C6BF"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p>
    <w:p w14:paraId="4C95649A"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bookmarkStart w:id="6" w:name="co_anchor_I012abb917ac011ec9d2cf9521495b"/>
      <w:bookmarkEnd w:id="6"/>
    </w:p>
    <w:p w14:paraId="1A415245" w14:textId="77777777" w:rsidR="001855D2" w:rsidRDefault="005A740A">
      <w:pPr>
        <w:widowControl w:val="0"/>
        <w:autoSpaceDE w:val="0"/>
        <w:autoSpaceDN w:val="0"/>
        <w:adjustRightInd w:val="0"/>
        <w:spacing w:before="800" w:after="200"/>
        <w:jc w:val="both"/>
        <w:rPr>
          <w:rFonts w:ascii="Times New Roman" w:hAnsi="Times New Roman" w:cs="Times New Roman"/>
          <w:b/>
          <w:bCs/>
          <w:color w:val="000000"/>
          <w:sz w:val="20"/>
          <w:szCs w:val="20"/>
          <w:u w:val="single"/>
        </w:rPr>
      </w:pPr>
      <w:r>
        <w:rPr>
          <w:rFonts w:ascii="Times New Roman" w:hAnsi="Times New Roman" w:cs="Times New Roman"/>
          <w:b/>
          <w:bCs/>
          <w:color w:val="000000"/>
          <w:sz w:val="20"/>
          <w:szCs w:val="20"/>
          <w:u w:val="single"/>
        </w:rPr>
        <w:t>MEMORANDUM OPINION</w:t>
      </w:r>
    </w:p>
    <w:p w14:paraId="56FDF13D" w14:textId="77777777" w:rsidR="001855D2" w:rsidRDefault="00C250BB">
      <w:pPr>
        <w:widowControl w:val="0"/>
        <w:autoSpaceDE w:val="0"/>
        <w:autoSpaceDN w:val="0"/>
        <w:adjustRightInd w:val="0"/>
        <w:spacing w:before="200" w:after="200"/>
        <w:jc w:val="both"/>
        <w:rPr>
          <w:rFonts w:ascii="Times New Roman" w:hAnsi="Times New Roman" w:cs="Times New Roman"/>
          <w:color w:val="000000"/>
          <w:sz w:val="20"/>
          <w:szCs w:val="20"/>
        </w:rPr>
      </w:pPr>
      <w:hyperlink r:id="rId8" w:history="1">
        <w:r w:rsidR="005A740A">
          <w:rPr>
            <w:rFonts w:ascii="Times New Roman" w:hAnsi="Times New Roman" w:cs="Times New Roman"/>
            <w:color w:val="0E568C"/>
            <w:sz w:val="20"/>
            <w:szCs w:val="20"/>
          </w:rPr>
          <w:t>RANDOLPH D. MOSS</w:t>
        </w:r>
      </w:hyperlink>
      <w:r w:rsidR="005A740A">
        <w:rPr>
          <w:rFonts w:ascii="Times New Roman" w:hAnsi="Times New Roman" w:cs="Times New Roman"/>
          <w:color w:val="000000"/>
          <w:sz w:val="20"/>
          <w:szCs w:val="20"/>
        </w:rPr>
        <w:t>, United States District Judge</w:t>
      </w:r>
    </w:p>
    <w:p w14:paraId="671C98A2"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bookmarkStart w:id="7" w:name="co_pp_sp_999_1_1"/>
      <w:bookmarkEnd w:id="7"/>
      <w:r>
        <w:rPr>
          <w:rFonts w:ascii="Times New Roman" w:hAnsi="Times New Roman" w:cs="Times New Roman"/>
          <w:b/>
          <w:bCs/>
          <w:color w:val="000000"/>
          <w:sz w:val="20"/>
          <w:szCs w:val="20"/>
        </w:rPr>
        <w:t>*1</w:t>
      </w:r>
      <w:r>
        <w:rPr>
          <w:rFonts w:ascii="Times New Roman" w:hAnsi="Times New Roman" w:cs="Times New Roman"/>
          <w:color w:val="000000"/>
          <w:sz w:val="20"/>
          <w:szCs w:val="20"/>
        </w:rPr>
        <w:t xml:space="preserve"> Every year, millions of people visit Yellowstone National Park to view, among other marvels, the park’s few thousand resident bison. In 2014, Plaintiffs Buffalo Field Campaign and Western Watersheds Project petitioned the U.S. Fish and Wildlife Service (“Service”) to list the Yellowstone bison as endangered or threatened, pursuant to the Endangered Species Act (“ESA”), </w:t>
      </w:r>
      <w:hyperlink r:id="rId9" w:anchor="co_pp_609d000059b95" w:history="1">
        <w:r>
          <w:rPr>
            <w:rFonts w:ascii="Times New Roman" w:hAnsi="Times New Roman" w:cs="Times New Roman"/>
            <w:color w:val="0E568C"/>
            <w:sz w:val="20"/>
            <w:szCs w:val="20"/>
          </w:rPr>
          <w:t>16 U.S.C. § 1533(b)(3)(A)</w:t>
        </w:r>
      </w:hyperlink>
      <w:r>
        <w:rPr>
          <w:rFonts w:ascii="Times New Roman" w:hAnsi="Times New Roman" w:cs="Times New Roman"/>
          <w:color w:val="000000"/>
          <w:sz w:val="20"/>
          <w:szCs w:val="20"/>
        </w:rPr>
        <w:t xml:space="preserve">. Dkt. 19 at 18; Dkt. 20-1 at 14. The following year, the Service denied that petition and another from a third party, concluding that neither petition presented substantial scientific or commercial information indicating that listing may be warranted. </w:t>
      </w:r>
      <w:hyperlink r:id="rId10" w:anchor="co_pp_sp_7903_108" w:history="1">
        <w:r>
          <w:rPr>
            <w:rFonts w:ascii="Times New Roman" w:hAnsi="Times New Roman" w:cs="Times New Roman"/>
            <w:i/>
            <w:iCs/>
            <w:color w:val="0E568C"/>
            <w:sz w:val="20"/>
            <w:szCs w:val="20"/>
          </w:rPr>
          <w:t>Buffalo Field Campaign v. Zinke</w:t>
        </w:r>
        <w:r>
          <w:rPr>
            <w:rFonts w:ascii="Times New Roman" w:hAnsi="Times New Roman" w:cs="Times New Roman"/>
            <w:color w:val="0E568C"/>
            <w:sz w:val="20"/>
            <w:szCs w:val="20"/>
          </w:rPr>
          <w:t>, 289 F. Supp. 3d 103, 108 (D.D.C. 2018)</w:t>
        </w:r>
      </w:hyperlink>
      <w:r>
        <w:rPr>
          <w:rFonts w:ascii="Times New Roman" w:hAnsi="Times New Roman" w:cs="Times New Roman"/>
          <w:color w:val="000000"/>
          <w:sz w:val="20"/>
          <w:szCs w:val="20"/>
        </w:rPr>
        <w:t xml:space="preserve">. Plaintiffs challenged that determination in a lawsuit before Judge Cooper, arguing, among other things, that the Service applied the wrong evidentiary standard. </w:t>
      </w:r>
      <w:hyperlink r:id="rId11" w:anchor="co_pp_sp_7903_109"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at 109</w:t>
        </w:r>
      </w:hyperlink>
      <w:r>
        <w:rPr>
          <w:rFonts w:ascii="Times New Roman" w:hAnsi="Times New Roman" w:cs="Times New Roman"/>
          <w:color w:val="000000"/>
          <w:sz w:val="20"/>
          <w:szCs w:val="20"/>
        </w:rPr>
        <w:t xml:space="preserve">. Judge Cooper agreed and remanded the matter to the </w:t>
      </w:r>
      <w:r>
        <w:rPr>
          <w:rFonts w:ascii="Times New Roman" w:hAnsi="Times New Roman" w:cs="Times New Roman"/>
          <w:color w:val="000000"/>
          <w:sz w:val="20"/>
          <w:szCs w:val="20"/>
        </w:rPr>
        <w:t xml:space="preserve">Service for further proceedings. </w:t>
      </w:r>
      <w:hyperlink r:id="rId12" w:anchor="co_pp_sp_7903_112"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at 112</w:t>
        </w:r>
      </w:hyperlink>
      <w:r>
        <w:rPr>
          <w:rFonts w:ascii="Times New Roman" w:hAnsi="Times New Roman" w:cs="Times New Roman"/>
          <w:color w:val="000000"/>
          <w:sz w:val="20"/>
          <w:szCs w:val="20"/>
        </w:rPr>
        <w:t>.</w:t>
      </w:r>
    </w:p>
    <w:p w14:paraId="4F187922"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8EBF7F9"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In 2019, the Service for a second time denied the petitions, as well as a third petition submitted following the remand. Dkt. 25-2 at 411–12. Plaintiffs have again brought suit, arguing that the Service’s most recent decision, like its earlier decision, is arbitrary and capricious in violation of the Administrative Procedure Act (“APA”), </w:t>
      </w:r>
      <w:hyperlink r:id="rId13" w:history="1">
        <w:r>
          <w:rPr>
            <w:rFonts w:ascii="Times New Roman" w:hAnsi="Times New Roman" w:cs="Times New Roman"/>
            <w:color w:val="0E568C"/>
            <w:sz w:val="20"/>
            <w:szCs w:val="20"/>
          </w:rPr>
          <w:t>5 U.S.C. § 706</w:t>
        </w:r>
      </w:hyperlink>
      <w:r>
        <w:rPr>
          <w:rFonts w:ascii="Times New Roman" w:hAnsi="Times New Roman" w:cs="Times New Roman"/>
          <w:color w:val="000000"/>
          <w:sz w:val="20"/>
          <w:szCs w:val="20"/>
        </w:rPr>
        <w:t xml:space="preserve">. Dkt. 1 at 23 (Compl. ¶ 124). Plaintiffs and the Service have cross-moved for summary judgment. Dkt. 19; Dkt. 20-1. Because the Court concludes that the Service has once again applied the incorrect standard, the Court will </w:t>
      </w:r>
      <w:r>
        <w:rPr>
          <w:rFonts w:ascii="Times New Roman" w:hAnsi="Times New Roman" w:cs="Times New Roman"/>
          <w:b/>
          <w:bCs/>
          <w:color w:val="000000"/>
          <w:sz w:val="20"/>
          <w:szCs w:val="20"/>
        </w:rPr>
        <w:t>GRANT</w:t>
      </w:r>
      <w:r>
        <w:rPr>
          <w:rFonts w:ascii="Times New Roman" w:hAnsi="Times New Roman" w:cs="Times New Roman"/>
          <w:color w:val="000000"/>
          <w:sz w:val="20"/>
          <w:szCs w:val="20"/>
        </w:rPr>
        <w:t xml:space="preserve"> Plaintiffs’ motion for summary judgment, </w:t>
      </w:r>
      <w:r>
        <w:rPr>
          <w:rFonts w:ascii="Times New Roman" w:hAnsi="Times New Roman" w:cs="Times New Roman"/>
          <w:b/>
          <w:bCs/>
          <w:color w:val="000000"/>
          <w:sz w:val="20"/>
          <w:szCs w:val="20"/>
        </w:rPr>
        <w:t>DENY</w:t>
      </w:r>
      <w:r>
        <w:rPr>
          <w:rFonts w:ascii="Times New Roman" w:hAnsi="Times New Roman" w:cs="Times New Roman"/>
          <w:color w:val="000000"/>
          <w:sz w:val="20"/>
          <w:szCs w:val="20"/>
        </w:rPr>
        <w:t xml:space="preserve"> the Service’s motion for summary judgment, and remand the matter to the Service for further proceedings.</w:t>
      </w:r>
    </w:p>
    <w:p w14:paraId="0F94F782"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0E7E701"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p>
    <w:p w14:paraId="3B95F4B8" w14:textId="77777777" w:rsidR="001855D2" w:rsidRDefault="005A740A">
      <w:pPr>
        <w:widowControl w:val="0"/>
        <w:autoSpaceDE w:val="0"/>
        <w:autoSpaceDN w:val="0"/>
        <w:adjustRightInd w:val="0"/>
        <w:spacing w:before="400" w:after="20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I. BACKGROUND</w:t>
      </w:r>
    </w:p>
    <w:p w14:paraId="02DA0B24"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bookmarkStart w:id="8" w:name="co_anchor_I012c90517ac011ec9d2cf9521495b"/>
      <w:bookmarkEnd w:id="8"/>
    </w:p>
    <w:p w14:paraId="01EA24D2" w14:textId="77777777" w:rsidR="001855D2" w:rsidRDefault="005A740A">
      <w:pPr>
        <w:widowControl w:val="0"/>
        <w:autoSpaceDE w:val="0"/>
        <w:autoSpaceDN w:val="0"/>
        <w:adjustRightInd w:val="0"/>
        <w:spacing w:before="40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 Statutory Background</w:t>
      </w:r>
    </w:p>
    <w:p w14:paraId="0E933D5F"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Congress enacted the ESA to stem the loss of endangered or threatened species. </w:t>
      </w:r>
      <w:hyperlink r:id="rId14" w:anchor="co_pp_a83b000018c76" w:history="1">
        <w:r>
          <w:rPr>
            <w:rFonts w:ascii="Times New Roman" w:hAnsi="Times New Roman" w:cs="Times New Roman"/>
            <w:color w:val="0E568C"/>
            <w:sz w:val="20"/>
            <w:szCs w:val="20"/>
          </w:rPr>
          <w:t>16 U.S.C. § 1531(b)</w:t>
        </w:r>
      </w:hyperlink>
      <w:r>
        <w:rPr>
          <w:rFonts w:ascii="Times New Roman" w:hAnsi="Times New Roman" w:cs="Times New Roman"/>
          <w:color w:val="000000"/>
          <w:sz w:val="20"/>
          <w:szCs w:val="20"/>
        </w:rPr>
        <w:t xml:space="preserve">. Under the Act, the Secretary of the Interior is required to maintain “a list of all species determined by [her] ... to be endangered species and a list of all species determined by [her] ... to be threatened species.”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 1533(c)(1). A species is “endangered” if it “is in danger of extinction throughout all or a significant portion of its range,”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 1532(6), and a species is “threatened” if it “is likely to become an endangered species within the foreseeable future throughout all or a significant portion of its range,”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 1532(20). The decision to list a species as endangered or threatened must be based on one of five factors: “(A) the present or threatened destruction, modification, or curtailment of its habitat or range; (B) overutilization for commercial, recreational, scientific, or educational purposes; (C) disease or predation; (D) the inadequacy of existing regulatory mechanisms; or (E) other natural or manmade factors affecting its continued existence,”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 1533(a)(1), (b). Although the ESA refers to “species” throughout its text, the statutory definition of “species” encompasses more granular classifications as well, “includ[ing] any subspecies of fish or wildlife or plants, and any distinct population segment of any species of vertebrate fish or wildlife which interbreeds when mature.”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 1532(16). The Secretary has delegated the authority to add or remove species from the endangered and threatened lists to the Service. </w:t>
      </w:r>
      <w:hyperlink r:id="rId15" w:anchor="co_pp_a83b000018c76" w:history="1">
        <w:r>
          <w:rPr>
            <w:rFonts w:ascii="Times New Roman" w:hAnsi="Times New Roman" w:cs="Times New Roman"/>
            <w:color w:val="0E568C"/>
            <w:sz w:val="20"/>
            <w:szCs w:val="20"/>
          </w:rPr>
          <w:t>50 C.F.R. § 402.01(b)</w:t>
        </w:r>
      </w:hyperlink>
      <w:r>
        <w:rPr>
          <w:rFonts w:ascii="Times New Roman" w:hAnsi="Times New Roman" w:cs="Times New Roman"/>
          <w:color w:val="000000"/>
          <w:sz w:val="20"/>
          <w:szCs w:val="20"/>
        </w:rPr>
        <w:t xml:space="preserve">; </w:t>
      </w:r>
      <w:hyperlink r:id="rId16" w:anchor="co_pp_sp_506_3" w:history="1">
        <w:r>
          <w:rPr>
            <w:rFonts w:ascii="Times New Roman" w:hAnsi="Times New Roman" w:cs="Times New Roman"/>
            <w:i/>
            <w:iCs/>
            <w:color w:val="0E568C"/>
            <w:sz w:val="20"/>
            <w:szCs w:val="20"/>
          </w:rPr>
          <w:t xml:space="preserve">In re Polar Bear Endangered Species Act Listing &amp; Section 4(d) </w:t>
        </w:r>
        <w:r>
          <w:rPr>
            <w:rFonts w:ascii="Times New Roman" w:hAnsi="Times New Roman" w:cs="Times New Roman"/>
            <w:i/>
            <w:iCs/>
            <w:color w:val="0E568C"/>
            <w:sz w:val="20"/>
            <w:szCs w:val="20"/>
          </w:rPr>
          <w:lastRenderedPageBreak/>
          <w:t>Rule Litig.—MDL No. 1993</w:t>
        </w:r>
        <w:r>
          <w:rPr>
            <w:rFonts w:ascii="Times New Roman" w:hAnsi="Times New Roman" w:cs="Times New Roman"/>
            <w:color w:val="0E568C"/>
            <w:sz w:val="20"/>
            <w:szCs w:val="20"/>
          </w:rPr>
          <w:t>, 709 F.3d 1, 3 (D.C. Cir. 2013)</w:t>
        </w:r>
      </w:hyperlink>
      <w:r>
        <w:rPr>
          <w:rFonts w:ascii="Times New Roman" w:hAnsi="Times New Roman" w:cs="Times New Roman"/>
          <w:color w:val="000000"/>
          <w:sz w:val="20"/>
          <w:szCs w:val="20"/>
        </w:rPr>
        <w:t>.</w:t>
      </w:r>
    </w:p>
    <w:p w14:paraId="41A62F03"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F665F93"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bookmarkStart w:id="9" w:name="co_pp_sp_999_2_1"/>
      <w:bookmarkEnd w:id="9"/>
      <w:r>
        <w:rPr>
          <w:rFonts w:ascii="Times New Roman" w:hAnsi="Times New Roman" w:cs="Times New Roman"/>
          <w:b/>
          <w:bCs/>
          <w:color w:val="000000"/>
          <w:sz w:val="20"/>
          <w:szCs w:val="20"/>
        </w:rPr>
        <w:t>*2</w:t>
      </w:r>
      <w:r>
        <w:rPr>
          <w:rFonts w:ascii="Times New Roman" w:hAnsi="Times New Roman" w:cs="Times New Roman"/>
          <w:color w:val="000000"/>
          <w:sz w:val="20"/>
          <w:szCs w:val="20"/>
        </w:rPr>
        <w:t xml:space="preserve"> Interested persons may petition the Service “to add a species to, or to remove a species from, either [the endangered or threatened] list[.]” </w:t>
      </w:r>
      <w:hyperlink r:id="rId17" w:anchor="co_pp_609d000059b95" w:history="1">
        <w:r>
          <w:rPr>
            <w:rFonts w:ascii="Times New Roman" w:hAnsi="Times New Roman" w:cs="Times New Roman"/>
            <w:color w:val="0E568C"/>
            <w:sz w:val="20"/>
            <w:szCs w:val="20"/>
          </w:rPr>
          <w:t>16 U.S.C. § 1533(b)(3)(A)</w:t>
        </w:r>
      </w:hyperlink>
      <w:r>
        <w:rPr>
          <w:rFonts w:ascii="Times New Roman" w:hAnsi="Times New Roman" w:cs="Times New Roman"/>
          <w:color w:val="000000"/>
          <w:sz w:val="20"/>
          <w:szCs w:val="20"/>
        </w:rPr>
        <w:t xml:space="preserve">. “To the maximum extent practicable, within 90 days after receiving [such a] petition,” the Service must determine whether the petition “presents substantial scientific or commercial information indicating that the [listing] may be warranted,” and, if so, must “promptly commence a review of the status of the species concerned.”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Under the Service’s regulations, “ ‘substantial scientific or commercial information’ refers to credible scientific or commercial information in support of the petition’s claims such that a reasonable person conducting an impartial scientific review would conclude that the action proposed in the petition may be warranted.” </w:t>
      </w:r>
      <w:hyperlink r:id="rId18" w:anchor="co_pp_cc99000077241" w:history="1">
        <w:r>
          <w:rPr>
            <w:rFonts w:ascii="Times New Roman" w:hAnsi="Times New Roman" w:cs="Times New Roman"/>
            <w:color w:val="0E568C"/>
            <w:sz w:val="20"/>
            <w:szCs w:val="20"/>
          </w:rPr>
          <w:t>50 C.F.R. § 424.14(h)(1)(i)</w:t>
        </w:r>
      </w:hyperlink>
      <w:r>
        <w:rPr>
          <w:rFonts w:ascii="Times New Roman" w:hAnsi="Times New Roman" w:cs="Times New Roman"/>
          <w:color w:val="000000"/>
          <w:sz w:val="20"/>
          <w:szCs w:val="20"/>
        </w:rPr>
        <w:t xml:space="preserve">. If a petition meets this standard, the Service must institute a review and issue a finding “[w]ithin 12 months after receiving [the] petition” as to whether listing is warranted. </w:t>
      </w:r>
      <w:hyperlink r:id="rId19" w:anchor="co_pp_6a460000f7311" w:history="1">
        <w:r>
          <w:rPr>
            <w:rFonts w:ascii="Times New Roman" w:hAnsi="Times New Roman" w:cs="Times New Roman"/>
            <w:color w:val="0E568C"/>
            <w:sz w:val="20"/>
            <w:szCs w:val="20"/>
          </w:rPr>
          <w:t>16 U.S.C. § 1533(b)(3)(B)</w:t>
        </w:r>
      </w:hyperlink>
      <w:r>
        <w:rPr>
          <w:rFonts w:ascii="Times New Roman" w:hAnsi="Times New Roman" w:cs="Times New Roman"/>
          <w:color w:val="000000"/>
          <w:sz w:val="20"/>
          <w:szCs w:val="20"/>
        </w:rPr>
        <w:t>.</w:t>
      </w:r>
    </w:p>
    <w:p w14:paraId="356D57BB"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ECB65CB"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the Service determines that action is not warranted, it must “promptly publish [that] finding in the Federal Register,” </w:t>
      </w:r>
      <w:hyperlink r:id="rId20" w:anchor="co_pp_d48600002cc56"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 1533(b)(3)(B)(i)</w:t>
        </w:r>
      </w:hyperlink>
      <w:r>
        <w:rPr>
          <w:rFonts w:ascii="Times New Roman" w:hAnsi="Times New Roman" w:cs="Times New Roman"/>
          <w:color w:val="000000"/>
          <w:sz w:val="20"/>
          <w:szCs w:val="20"/>
        </w:rPr>
        <w:t xml:space="preserve">, and that finding is subject to judicial review, </w:t>
      </w:r>
      <w:hyperlink r:id="rId21" w:anchor="co_pp_be00000062050"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 1533(b)(3)(C)(ii)</w:t>
        </w:r>
      </w:hyperlink>
      <w:r>
        <w:rPr>
          <w:rFonts w:ascii="Times New Roman" w:hAnsi="Times New Roman" w:cs="Times New Roman"/>
          <w:color w:val="000000"/>
          <w:sz w:val="20"/>
          <w:szCs w:val="20"/>
        </w:rPr>
        <w:t xml:space="preserve">. But, if the Service determines that action is warranted, it must publish a notice of proposed rulemaking in the Federal Register, </w:t>
      </w:r>
      <w:hyperlink r:id="rId22" w:anchor="co_pp_3f16000044140"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 1533(b)(3)(B)(ii)</w:t>
        </w:r>
      </w:hyperlink>
      <w:r>
        <w:rPr>
          <w:rFonts w:ascii="Times New Roman" w:hAnsi="Times New Roman" w:cs="Times New Roman"/>
          <w:color w:val="000000"/>
          <w:sz w:val="20"/>
          <w:szCs w:val="20"/>
        </w:rPr>
        <w:t xml:space="preserve">, and shall, if requested, hold at least “one public hearing on the proposed regulation,” </w:t>
      </w:r>
      <w:hyperlink r:id="rId23" w:anchor="co_pp_dcba0000ae562"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 1533(b)(5)(E)</w:t>
        </w:r>
      </w:hyperlink>
      <w:r>
        <w:rPr>
          <w:rFonts w:ascii="Times New Roman" w:hAnsi="Times New Roman" w:cs="Times New Roman"/>
          <w:color w:val="000000"/>
          <w:sz w:val="20"/>
          <w:szCs w:val="20"/>
        </w:rPr>
        <w:t xml:space="preserve">. The Service must then issue a final rule or withdraw the proposed rule (or file a notice of an extension of the deadline) within one year. </w:t>
      </w:r>
      <w:hyperlink r:id="rId24" w:anchor="co_pp_b870000059ad5"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 1533(b)(6)(A)</w:t>
        </w:r>
      </w:hyperlink>
      <w:r>
        <w:rPr>
          <w:rFonts w:ascii="Times New Roman" w:hAnsi="Times New Roman" w:cs="Times New Roman"/>
          <w:color w:val="000000"/>
          <w:sz w:val="20"/>
          <w:szCs w:val="20"/>
        </w:rPr>
        <w:t xml:space="preserve">. An extension of the one-year deadline is warranted only if the Service determines “that there is substantial disagreement regarding the sufficiency or accuracy of the available data relevant to the determination or revision concerned.” </w:t>
      </w:r>
      <w:hyperlink r:id="rId25" w:anchor="co_pp_2311000007a65"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 1533(b)(6)(B)(i)</w:t>
        </w:r>
      </w:hyperlink>
      <w:r>
        <w:rPr>
          <w:rFonts w:ascii="Times New Roman" w:hAnsi="Times New Roman" w:cs="Times New Roman"/>
          <w:color w:val="000000"/>
          <w:sz w:val="20"/>
          <w:szCs w:val="20"/>
        </w:rPr>
        <w:t xml:space="preserve">. A listing decision must be based “solely on ... the best scientific and commercial data available to [the Service] after conducting a review of the status of the species and after taking into account those efforts, if any, being made by any State or foreign nation, or any political subdivision [thereof], to protect [the] species.” </w:t>
      </w:r>
      <w:hyperlink r:id="rId26" w:anchor="co_pp_8b16000077793"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 1533(b)(1)(A)</w:t>
        </w:r>
      </w:hyperlink>
      <w:r>
        <w:rPr>
          <w:rFonts w:ascii="Times New Roman" w:hAnsi="Times New Roman" w:cs="Times New Roman"/>
          <w:color w:val="000000"/>
          <w:sz w:val="20"/>
          <w:szCs w:val="20"/>
        </w:rPr>
        <w:t>.</w:t>
      </w:r>
    </w:p>
    <w:p w14:paraId="1C0CF3D1"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7F24EF3"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p>
    <w:p w14:paraId="65CB98B1"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bookmarkStart w:id="10" w:name="co_anchor_I013039d17ac011ec9d2cf9521495b"/>
      <w:bookmarkEnd w:id="10"/>
    </w:p>
    <w:p w14:paraId="4EADA507" w14:textId="77777777" w:rsidR="001855D2" w:rsidRDefault="005A740A">
      <w:pPr>
        <w:widowControl w:val="0"/>
        <w:autoSpaceDE w:val="0"/>
        <w:autoSpaceDN w:val="0"/>
        <w:adjustRightInd w:val="0"/>
        <w:spacing w:before="40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B. Factual Background</w:t>
      </w:r>
    </w:p>
    <w:p w14:paraId="76A0D881"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American bison has appeared on the official seal of the Department of the Interior since 1912, Dkt. 20-1 at 12; is the national mammal of the United States, </w:t>
      </w:r>
      <w:r>
        <w:rPr>
          <w:rFonts w:ascii="Times New Roman" w:hAnsi="Times New Roman" w:cs="Times New Roman"/>
          <w:i/>
          <w:iCs/>
          <w:color w:val="000000"/>
          <w:sz w:val="20"/>
          <w:szCs w:val="20"/>
        </w:rPr>
        <w:t>see</w:t>
      </w:r>
      <w:r>
        <w:rPr>
          <w:rFonts w:ascii="Times New Roman" w:hAnsi="Times New Roman" w:cs="Times New Roman"/>
          <w:color w:val="000000"/>
          <w:sz w:val="20"/>
          <w:szCs w:val="20"/>
        </w:rPr>
        <w:t xml:space="preserve"> National </w:t>
      </w:r>
      <w:r>
        <w:rPr>
          <w:rFonts w:ascii="Times New Roman" w:hAnsi="Times New Roman" w:cs="Times New Roman"/>
          <w:color w:val="000000"/>
          <w:sz w:val="20"/>
          <w:szCs w:val="20"/>
        </w:rPr>
        <w:t xml:space="preserve">Bison Legacy Act, </w:t>
      </w:r>
      <w:hyperlink r:id="rId27" w:history="1">
        <w:r>
          <w:rPr>
            <w:rFonts w:ascii="Times New Roman" w:hAnsi="Times New Roman" w:cs="Times New Roman"/>
            <w:color w:val="0E568C"/>
            <w:sz w:val="20"/>
            <w:szCs w:val="20"/>
          </w:rPr>
          <w:t>Pub. L. No. 114-152, 130 Stat. 373 (2016)</w:t>
        </w:r>
      </w:hyperlink>
      <w:r>
        <w:rPr>
          <w:rFonts w:ascii="Times New Roman" w:hAnsi="Times New Roman" w:cs="Times New Roman"/>
          <w:color w:val="000000"/>
          <w:sz w:val="20"/>
          <w:szCs w:val="20"/>
        </w:rPr>
        <w:t>; and is North America’s largest native land mammal, Dkt. 25-3 at 416. The species comprises two subspecies: the wood bison (found principally in Canada), and the plains bison, which includes Yellowstone bison and which scientists have named—rather emphatically—</w:t>
      </w:r>
      <w:r>
        <w:rPr>
          <w:rFonts w:ascii="Times New Roman" w:hAnsi="Times New Roman" w:cs="Times New Roman"/>
          <w:i/>
          <w:iCs/>
          <w:color w:val="000000"/>
          <w:sz w:val="20"/>
          <w:szCs w:val="20"/>
        </w:rPr>
        <w:t>Bison bison bison.</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414–15. Although plains bison once numbered in the millions and roamed much of the United States, as well as parts of Canada and Mexico, Dkt. 25-3 at 414, 418; Dkt. 19 at 13; Dkt. 20-1 at 11, their population in the wild hit a nadir at the turn of the twentieth century, when fewer than two dozen wild bison remained in Yellowstone National Park, all in the central region of the park. Dkt. 25-3 at 7, 402. To revive the population, park managers cultivated a separate herd in the northern region of the park by introducing twenty-one bison from captive herds outside the park and three calves from the indigenous central Yellowstone herd.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7.</w:t>
      </w:r>
    </w:p>
    <w:p w14:paraId="139EBA56"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B5F3741"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More than a century later, roughly 4,500 bison reside in Yellowstone,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573 (Aug. 2018), although, as discussed below, this number fluctuates throughout the year. The population still consists of “two primary breeding herds,” the northern herd (which included just over 3,300 bison in August 2018) and the central herd (which included almost 1,200 bison in that same month).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According to the National Park Service, “Yellowstone is the only place in the United States where bison ... have lived continuously since prehistoric times.”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572. Moreover, although almost all bison outside of the park are descended from cattle-bison hybrids as the result of efforts to bolster bison numbers in the late 1800s and early 1900s, Yellowstone bison do not carry cattle genes.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7, 22, 572–73.</w:t>
      </w:r>
    </w:p>
    <w:p w14:paraId="1ED7936E"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F3F9C21"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bookmarkStart w:id="11" w:name="co_pp_sp_999_3_1"/>
      <w:bookmarkEnd w:id="11"/>
      <w:r>
        <w:rPr>
          <w:rFonts w:ascii="Times New Roman" w:hAnsi="Times New Roman" w:cs="Times New Roman"/>
          <w:b/>
          <w:bCs/>
          <w:color w:val="000000"/>
          <w:sz w:val="20"/>
          <w:szCs w:val="20"/>
        </w:rPr>
        <w:t>*3</w:t>
      </w:r>
      <w:r>
        <w:rPr>
          <w:rFonts w:ascii="Times New Roman" w:hAnsi="Times New Roman" w:cs="Times New Roman"/>
          <w:color w:val="000000"/>
          <w:sz w:val="20"/>
          <w:szCs w:val="20"/>
        </w:rPr>
        <w:t xml:space="preserve"> During certain times of year, the Yellowstone bison migrate outside of the park. Dkt. 25-3 at 598–601. This annual migration creates complications for population management, primarily because it raises the risk that bison will transmit to cattle a bacterial disease called </w:t>
      </w:r>
      <w:hyperlink r:id="rId28" w:history="1">
        <w:r>
          <w:rPr>
            <w:rFonts w:ascii="Times New Roman" w:hAnsi="Times New Roman" w:cs="Times New Roman"/>
            <w:color w:val="0E568C"/>
            <w:sz w:val="20"/>
            <w:szCs w:val="20"/>
          </w:rPr>
          <w:t>brucellosis</w:t>
        </w:r>
      </w:hyperlink>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499–500. After more than ten years of negotiation, in 2000, various federal agencies and the State of Montana adopted a framework called the Interagency Bison Management Plan for the State of Montana and Yellowstone National Park (“IBMP”) to manage the bison’s movements. Dkt. 20-1 at 13. The IBMP allows bison to migrate outside of the park during the winter but “in the spring[,] the agencies ... haze bison back into the park, at or near the time when bison historically can return to the park based on snow and weather conditions, or capture or shoot them if hazing is unsuccessful.” Dkt. 25-3 at 507. In addition, since 2005, the State of Montana “has administered a bison hunt between November 15 and February 15 on lands adjacent to the park,” and, in 2006, 2009, and 2010, the State “recognized ... treaty rights” </w:t>
      </w:r>
      <w:r>
        <w:rPr>
          <w:rFonts w:ascii="Times New Roman" w:hAnsi="Times New Roman" w:cs="Times New Roman"/>
          <w:color w:val="000000"/>
          <w:sz w:val="20"/>
          <w:szCs w:val="20"/>
        </w:rPr>
        <w:lastRenderedPageBreak/>
        <w:t xml:space="preserve">permitting local tribes to “harvest[ ] bison on open and unclaimed federal lands adjacent to the park.”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596.</w:t>
      </w:r>
    </w:p>
    <w:p w14:paraId="56558E88"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B49CA81"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IBMP sets a “population target for the whole herd”—that is, the northern and central herds combined—of “3,000 bison.”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528. But the plan also permits the participating agencies to “agree to temporarily modify elements of [the] plan to mitigate total removal of bison due to exigent circumstances arising from severe winter conditions.”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530. In particular, “[w]hen the bison population declines to 2300 within a single winter, the agencies will </w:t>
      </w:r>
      <w:r>
        <w:rPr>
          <w:rFonts w:ascii="Times New Roman" w:hAnsi="Times New Roman" w:cs="Times New Roman"/>
          <w:i/>
          <w:iCs/>
          <w:color w:val="000000"/>
          <w:sz w:val="20"/>
          <w:szCs w:val="20"/>
        </w:rPr>
        <w:t>meet to evaluate</w:t>
      </w:r>
      <w:r>
        <w:rPr>
          <w:rFonts w:ascii="Times New Roman" w:hAnsi="Times New Roman" w:cs="Times New Roman"/>
          <w:color w:val="000000"/>
          <w:sz w:val="20"/>
          <w:szCs w:val="20"/>
        </w:rPr>
        <w:t xml:space="preserve"> modifications to the prevailing management prescriptions that could reduce the total management removal from the population.”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(emphasis added). “When the bison population declines below 2300 within a single winter, the agencies </w:t>
      </w:r>
      <w:r>
        <w:rPr>
          <w:rFonts w:ascii="Times New Roman" w:hAnsi="Times New Roman" w:cs="Times New Roman"/>
          <w:i/>
          <w:iCs/>
          <w:color w:val="000000"/>
          <w:sz w:val="20"/>
          <w:szCs w:val="20"/>
        </w:rPr>
        <w:t>may</w:t>
      </w:r>
      <w:r>
        <w:rPr>
          <w:rFonts w:ascii="Times New Roman" w:hAnsi="Times New Roman" w:cs="Times New Roman"/>
          <w:color w:val="000000"/>
          <w:sz w:val="20"/>
          <w:szCs w:val="20"/>
        </w:rPr>
        <w:t xml:space="preserve">, on a temporary basis for that winter, </w:t>
      </w:r>
      <w:r>
        <w:rPr>
          <w:rFonts w:ascii="Times New Roman" w:hAnsi="Times New Roman" w:cs="Times New Roman"/>
          <w:i/>
          <w:iCs/>
          <w:color w:val="000000"/>
          <w:sz w:val="20"/>
          <w:szCs w:val="20"/>
        </w:rPr>
        <w:t>increase implementation</w:t>
      </w:r>
      <w:r>
        <w:rPr>
          <w:rFonts w:ascii="Times New Roman" w:hAnsi="Times New Roman" w:cs="Times New Roman"/>
          <w:color w:val="000000"/>
          <w:sz w:val="20"/>
          <w:szCs w:val="20"/>
        </w:rPr>
        <w:t xml:space="preserve"> of </w:t>
      </w:r>
      <w:r>
        <w:rPr>
          <w:rFonts w:ascii="Times New Roman" w:hAnsi="Times New Roman" w:cs="Times New Roman"/>
          <w:i/>
          <w:iCs/>
          <w:color w:val="000000"/>
          <w:sz w:val="20"/>
          <w:szCs w:val="20"/>
        </w:rPr>
        <w:t>non-lethal</w:t>
      </w:r>
      <w:r>
        <w:rPr>
          <w:rFonts w:ascii="Times New Roman" w:hAnsi="Times New Roman" w:cs="Times New Roman"/>
          <w:color w:val="000000"/>
          <w:sz w:val="20"/>
          <w:szCs w:val="20"/>
        </w:rPr>
        <w:t xml:space="preserve"> management measures to provide management flexibility and [to] reduce the total management removal of bison from the population.”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(emphasis added). And, finally, [w]hen the bison population declines below 2100 within a single winter, the agencies </w:t>
      </w:r>
      <w:r>
        <w:rPr>
          <w:rFonts w:ascii="Times New Roman" w:hAnsi="Times New Roman" w:cs="Times New Roman"/>
          <w:i/>
          <w:iCs/>
          <w:color w:val="000000"/>
          <w:sz w:val="20"/>
          <w:szCs w:val="20"/>
        </w:rPr>
        <w:t>will</w:t>
      </w:r>
      <w:r>
        <w:rPr>
          <w:rFonts w:ascii="Times New Roman" w:hAnsi="Times New Roman" w:cs="Times New Roman"/>
          <w:color w:val="000000"/>
          <w:sz w:val="20"/>
          <w:szCs w:val="20"/>
        </w:rPr>
        <w:t xml:space="preserve">, on a temporary basis for that winter, </w:t>
      </w:r>
      <w:r>
        <w:rPr>
          <w:rFonts w:ascii="Times New Roman" w:hAnsi="Times New Roman" w:cs="Times New Roman"/>
          <w:i/>
          <w:iCs/>
          <w:color w:val="000000"/>
          <w:sz w:val="20"/>
          <w:szCs w:val="20"/>
        </w:rPr>
        <w:t>increase implementation of non-lethal</w:t>
      </w:r>
      <w:r>
        <w:rPr>
          <w:rFonts w:ascii="Times New Roman" w:hAnsi="Times New Roman" w:cs="Times New Roman"/>
          <w:color w:val="000000"/>
          <w:sz w:val="20"/>
          <w:szCs w:val="20"/>
        </w:rPr>
        <w:t xml:space="preserve"> management measures.”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(emphasis added).</w:t>
      </w:r>
    </w:p>
    <w:p w14:paraId="48EA7B33"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685202D"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extent of the culling that occurs is significant. In the winter of 2016/2017, for example, more than 1,200 Yellowstone bison were culled, and in the winter of 2017/2018, approximately 1,155 bison were culled. Dkt. 25-2 at 419. According to Plaintiffs, the hunting, trapping, hazing, capture, and slaughter of Yellowstone bison disproportionately affect the central herd.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42; </w:t>
      </w:r>
      <w:r>
        <w:rPr>
          <w:rFonts w:ascii="Times New Roman" w:hAnsi="Times New Roman" w:cs="Times New Roman"/>
          <w:i/>
          <w:iCs/>
          <w:color w:val="000000"/>
          <w:sz w:val="20"/>
          <w:szCs w:val="20"/>
        </w:rPr>
        <w:t>see also</w:t>
      </w:r>
      <w:r>
        <w:rPr>
          <w:rFonts w:ascii="Times New Roman" w:hAnsi="Times New Roman" w:cs="Times New Roman"/>
          <w:color w:val="000000"/>
          <w:sz w:val="20"/>
          <w:szCs w:val="20"/>
        </w:rPr>
        <w:t xml:space="preserve"> Dkt. 19 at 17. As a result, although the overall Yellowstone bison population has been relatively stable in recent years, Dkt. 25-3 at 100–101, the size of the central herd has declined dramatically over the past two decades,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see also</w:t>
      </w:r>
      <w:r>
        <w:rPr>
          <w:rFonts w:ascii="Times New Roman" w:hAnsi="Times New Roman" w:cs="Times New Roman"/>
          <w:color w:val="000000"/>
          <w:sz w:val="20"/>
          <w:szCs w:val="20"/>
        </w:rPr>
        <w:t xml:space="preserve"> Dkt. 25-2 at 419. In 2000, for example, the northern herd comprised less than a third of the total Yellowstone bison population, but, based on 2018 estimates, it now includes “three times as many bison” as the central herd.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Dkt. 25-3 at 100.</w:t>
      </w:r>
      <w:bookmarkStart w:id="12" w:name="co_fnRef_B00022055372206_ID0E6RAE_1"/>
      <w:bookmarkEnd w:id="12"/>
      <w:r>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 xml:space="preserve">HYPERLINK "#co_footnote_B00022055372206_1" </w:instrText>
      </w:r>
      <w:r>
        <w:rPr>
          <w:rFonts w:ascii="Times New Roman" w:hAnsi="Times New Roman" w:cs="Times New Roman"/>
          <w:color w:val="000000"/>
          <w:sz w:val="16"/>
          <w:szCs w:val="16"/>
        </w:rPr>
        <w:fldChar w:fldCharType="separate"/>
      </w:r>
      <w:r>
        <w:rPr>
          <w:rFonts w:ascii="Times New Roman" w:hAnsi="Times New Roman" w:cs="Times New Roman"/>
          <w:color w:val="0E568C"/>
          <w:sz w:val="16"/>
          <w:szCs w:val="16"/>
          <w:vertAlign w:val="superscript"/>
        </w:rPr>
        <w:t>2</w:t>
      </w:r>
      <w:r>
        <w:rPr>
          <w:rFonts w:ascii="Times New Roman" w:hAnsi="Times New Roman" w:cs="Times New Roman"/>
          <w:color w:val="000000"/>
          <w:sz w:val="16"/>
          <w:szCs w:val="16"/>
        </w:rPr>
        <w:fldChar w:fldCharType="end"/>
      </w:r>
      <w:r>
        <w:rPr>
          <w:rFonts w:ascii="Times New Roman" w:hAnsi="Times New Roman" w:cs="Times New Roman"/>
          <w:color w:val="000000"/>
          <w:sz w:val="20"/>
          <w:szCs w:val="20"/>
        </w:rPr>
        <w:t xml:space="preserve"> The Service acknowledges this decline, which it “primarily” attributes to “dispersal of [Yellowstone] bison from [the] central to [the] northern” herds and, like Plaintiffs, to “disproportionate culls of [Yellowstone] bison from the central herd.” Dkt. 20-1 at 36–37</w:t>
      </w:r>
    </w:p>
    <w:p w14:paraId="1C305796"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59CC4ED"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bookmarkStart w:id="13" w:name="co_pp_sp_999_4_1"/>
      <w:bookmarkEnd w:id="13"/>
      <w:r>
        <w:rPr>
          <w:rFonts w:ascii="Times New Roman" w:hAnsi="Times New Roman" w:cs="Times New Roman"/>
          <w:b/>
          <w:bCs/>
          <w:color w:val="000000"/>
          <w:sz w:val="20"/>
          <w:szCs w:val="20"/>
        </w:rPr>
        <w:t>*4</w:t>
      </w:r>
      <w:r>
        <w:rPr>
          <w:rFonts w:ascii="Times New Roman" w:hAnsi="Times New Roman" w:cs="Times New Roman"/>
          <w:color w:val="000000"/>
          <w:sz w:val="20"/>
          <w:szCs w:val="20"/>
        </w:rPr>
        <w:t xml:space="preserve"> At present, Yellowstone bison are not listed as endangered or threatened under the ESA. </w:t>
      </w:r>
      <w:hyperlink r:id="rId29" w:anchor="co_pp_sp_7903_107" w:history="1">
        <w:r>
          <w:rPr>
            <w:rFonts w:ascii="Times New Roman" w:hAnsi="Times New Roman" w:cs="Times New Roman"/>
            <w:i/>
            <w:iCs/>
            <w:color w:val="0E568C"/>
            <w:sz w:val="20"/>
            <w:szCs w:val="20"/>
          </w:rPr>
          <w:t>Buffalo Field Campaign</w:t>
        </w:r>
        <w:r>
          <w:rPr>
            <w:rFonts w:ascii="Times New Roman" w:hAnsi="Times New Roman" w:cs="Times New Roman"/>
            <w:color w:val="0E568C"/>
            <w:sz w:val="20"/>
            <w:szCs w:val="20"/>
          </w:rPr>
          <w:t>, 289 F. Supp. 3d at 107</w:t>
        </w:r>
      </w:hyperlink>
      <w:r>
        <w:rPr>
          <w:rFonts w:ascii="Times New Roman" w:hAnsi="Times New Roman" w:cs="Times New Roman"/>
          <w:color w:val="000000"/>
          <w:sz w:val="20"/>
          <w:szCs w:val="20"/>
        </w:rPr>
        <w:t>.</w:t>
      </w:r>
    </w:p>
    <w:p w14:paraId="6A3B6ABF"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47B1980"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p>
    <w:p w14:paraId="018DFD80"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bookmarkStart w:id="14" w:name="co_anchor_I013a73017ac011ec9d2cf9521495b"/>
      <w:bookmarkEnd w:id="14"/>
    </w:p>
    <w:p w14:paraId="3F42BB3E" w14:textId="77777777" w:rsidR="001855D2" w:rsidRDefault="005A740A">
      <w:pPr>
        <w:widowControl w:val="0"/>
        <w:autoSpaceDE w:val="0"/>
        <w:autoSpaceDN w:val="0"/>
        <w:adjustRightInd w:val="0"/>
        <w:spacing w:before="40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C. Procedural Background</w:t>
      </w:r>
    </w:p>
    <w:p w14:paraId="7E1605A6"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In November 2014, Buffalo Field Campaign and Western Watershed Project petitioned the Service to list the Yellowstone bison as an endangered or threatened distinct population segment (“DPS”) pursuant to the ESA. Dkt. 25 at 6; Dkt. 19 at 18; </w:t>
      </w:r>
      <w:r>
        <w:rPr>
          <w:rFonts w:ascii="Times New Roman" w:hAnsi="Times New Roman" w:cs="Times New Roman"/>
          <w:i/>
          <w:iCs/>
          <w:color w:val="000000"/>
          <w:sz w:val="20"/>
          <w:szCs w:val="20"/>
        </w:rPr>
        <w:t>see</w:t>
      </w:r>
      <w:r>
        <w:rPr>
          <w:rFonts w:ascii="Times New Roman" w:hAnsi="Times New Roman" w:cs="Times New Roman"/>
          <w:color w:val="000000"/>
          <w:sz w:val="20"/>
          <w:szCs w:val="20"/>
        </w:rPr>
        <w:t xml:space="preserve"> Dkt. 1 at 4–5 (Compl. ¶¶ 14–15) (describing parties). In March 2015, James Horsley, a private citizen, separately petitioned the Service to list the Yellowstone bison. Dkt. 25 at 67; Dkt. 25-2 at 413; Dkt. 19 at 18. According to the 2014 petition, “[b]ecause the Yellowstone bison are an isolated remnant population, they are susceptible to threats such as disease outbreaks, natural catastrophes, and impairment of genetic and population structure.” Dkt. 25 at 11. The petition identifies the following factors affecting the Yellowstone bison: range curtailment, livestock grazing, development of the range, invasive species, hunting, predation, disease, genomic extinction, climate change, and inadequacy of existing regulations.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38–54.</w:t>
      </w:r>
    </w:p>
    <w:p w14:paraId="2DE3AB97"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23A841E"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On December 15, 2015, the Service issued a 90-day finding rejecting both petitions. Dkt. 25 at 396–409. Although the Service concluded “that the ... petitions, together, provide[d] substantial scientific or commercial information indicating the [Yellowstone bison] may qualify as a DPS,”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397, it concluded that they did not present “substantial scientific or commercial information indicating that the petitioned action”—that is, listing the Yellowstone bison DPS as endangered or threatened—“may be warranted,”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409. In reaching that conclusion, the Service acknowledged that the 2014 petition “suggest[ed] [that] animals from the Central/Western herd are being hunted at a disproportionately high rate compared to their Northern counterparts, which ‘threatens the genetic viability of the Yellowstone bison and could result in the loss of unique genetic qualities, maternal lineages, and the loss of overall diversity.’ ”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402. But, in response, the Service pointed to a study estimating that “only approximately 30-40% of the [Yellowstone] bison genetic makeup derive from the original 25 survivors” of the indigenous Central herd; that, as a result, “maintenance of subpopulation genetic differentiation and overall genetic diversity may not be crucial for preserving genes from the survivors of the historic bottleneck;” and, finally, that another study concluded “that the National Park Service should allow ecological processes to ‘influence how population and genetic substructure is maintained in the future.’ ”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402–03 (citations omitted).</w:t>
      </w:r>
    </w:p>
    <w:p w14:paraId="69EB3894"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FE6831E"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Buffalo Field Campaign, Western Watershed Project, and Friends of Animals (“Plaintiffs”) brought suit under the APA challenging the 2015 finding. </w:t>
      </w:r>
      <w:r>
        <w:rPr>
          <w:rFonts w:ascii="Times New Roman" w:hAnsi="Times New Roman" w:cs="Times New Roman"/>
          <w:i/>
          <w:iCs/>
          <w:color w:val="000000"/>
          <w:sz w:val="20"/>
          <w:szCs w:val="20"/>
        </w:rPr>
        <w:t>See</w:t>
      </w:r>
      <w:r>
        <w:rPr>
          <w:rFonts w:ascii="Times New Roman" w:hAnsi="Times New Roman" w:cs="Times New Roman"/>
          <w:color w:val="000000"/>
          <w:sz w:val="20"/>
          <w:szCs w:val="20"/>
        </w:rPr>
        <w:t xml:space="preserve"> Complaint at 1–3, </w:t>
      </w:r>
      <w:hyperlink r:id="rId30" w:history="1">
        <w:r>
          <w:rPr>
            <w:rFonts w:ascii="Times New Roman" w:hAnsi="Times New Roman" w:cs="Times New Roman"/>
            <w:i/>
            <w:iCs/>
            <w:color w:val="0E568C"/>
            <w:sz w:val="20"/>
            <w:szCs w:val="20"/>
          </w:rPr>
          <w:t>Buffalo Field Campaign v. Zinke</w:t>
        </w:r>
        <w:r>
          <w:rPr>
            <w:rFonts w:ascii="Times New Roman" w:hAnsi="Times New Roman" w:cs="Times New Roman"/>
            <w:color w:val="0E568C"/>
            <w:sz w:val="20"/>
            <w:szCs w:val="20"/>
          </w:rPr>
          <w:t>, 289 F. Supp. 3d 103 (D.D.C. 2018)</w:t>
        </w:r>
      </w:hyperlink>
      <w:r>
        <w:rPr>
          <w:rFonts w:ascii="Times New Roman" w:hAnsi="Times New Roman" w:cs="Times New Roman"/>
          <w:color w:val="000000"/>
          <w:sz w:val="20"/>
          <w:szCs w:val="20"/>
        </w:rPr>
        <w:t xml:space="preserve"> (No. 16-cv-1909 (CRC)) (“</w:t>
      </w:r>
      <w:r>
        <w:rPr>
          <w:rFonts w:ascii="Times New Roman" w:hAnsi="Times New Roman" w:cs="Times New Roman"/>
          <w:i/>
          <w:iCs/>
          <w:color w:val="000000"/>
          <w:sz w:val="20"/>
          <w:szCs w:val="20"/>
        </w:rPr>
        <w:t xml:space="preserve">Buffalo Field </w:t>
      </w:r>
      <w:r>
        <w:rPr>
          <w:rFonts w:ascii="Times New Roman" w:hAnsi="Times New Roman" w:cs="Times New Roman"/>
          <w:i/>
          <w:iCs/>
          <w:color w:val="000000"/>
          <w:sz w:val="20"/>
          <w:szCs w:val="20"/>
        </w:rPr>
        <w:lastRenderedPageBreak/>
        <w:t>Campaign I</w:t>
      </w:r>
      <w:r>
        <w:rPr>
          <w:rFonts w:ascii="Times New Roman" w:hAnsi="Times New Roman" w:cs="Times New Roman"/>
          <w:color w:val="000000"/>
          <w:sz w:val="20"/>
          <w:szCs w:val="20"/>
        </w:rPr>
        <w:t xml:space="preserve">”). Among other things, Plaintiffs argued that the Service applied the incorrect evidentiary standard in reviewing the petition.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3. In particular, the 2014 petition cited a published, peer-reviewed population genetics study, Natalie D. Halbert </w:t>
      </w:r>
      <w:r>
        <w:rPr>
          <w:rFonts w:ascii="Times New Roman" w:hAnsi="Times New Roman" w:cs="Times New Roman"/>
          <w:i/>
          <w:iCs/>
          <w:color w:val="000000"/>
          <w:sz w:val="20"/>
          <w:szCs w:val="20"/>
        </w:rPr>
        <w:t>et al., Genetic Population Substructure in Bison at Yellowstone National Park</w:t>
      </w:r>
      <w:r>
        <w:rPr>
          <w:rFonts w:ascii="Times New Roman" w:hAnsi="Times New Roman" w:cs="Times New Roman"/>
          <w:color w:val="000000"/>
          <w:sz w:val="20"/>
          <w:szCs w:val="20"/>
        </w:rPr>
        <w:t xml:space="preserve">, 103 J. Heredity 360 (2012) (“Halbert study”), for the proposition that (1) the central and northern populations are two genetically distinct subpopulations, Dkt. 25-3 at 125, and (2) the Service’s current management approach of culling bison without regard to subpopulation puts the genetic diversity of the Yellowstone bison at risk,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133. In issuing its negative 90-day finding, the Service did not conclude that the Halbert study was “irrelevant, unreliable, or unsubstantiated” but, instead, relied on the other study to conclude that “maintenance of subpopulation genetic differentiation and overall genetic diversity may not be crucial for preserving genes.” </w:t>
      </w:r>
      <w:hyperlink r:id="rId31" w:anchor="co_pp_sp_7903_110" w:history="1">
        <w:r>
          <w:rPr>
            <w:rFonts w:ascii="Times New Roman" w:hAnsi="Times New Roman" w:cs="Times New Roman"/>
            <w:i/>
            <w:iCs/>
            <w:color w:val="0E568C"/>
            <w:sz w:val="20"/>
            <w:szCs w:val="20"/>
          </w:rPr>
          <w:t>Buffalo Field Campaign I</w:t>
        </w:r>
        <w:r>
          <w:rPr>
            <w:rFonts w:ascii="Times New Roman" w:hAnsi="Times New Roman" w:cs="Times New Roman"/>
            <w:color w:val="0E568C"/>
            <w:sz w:val="20"/>
            <w:szCs w:val="20"/>
          </w:rPr>
          <w:t>, 289 F. Supp. 3d at 110</w:t>
        </w:r>
      </w:hyperlink>
      <w:r>
        <w:rPr>
          <w:rFonts w:ascii="Times New Roman" w:hAnsi="Times New Roman" w:cs="Times New Roman"/>
          <w:color w:val="000000"/>
          <w:sz w:val="20"/>
          <w:szCs w:val="20"/>
        </w:rPr>
        <w:t xml:space="preserve"> (quotation marks omitted). In Plaintiffs’ view, the Service overstepped its focused role in reviewing a 90-day petition and should not have resolved a substantial dispute between scientists at this early stage in the process.</w:t>
      </w:r>
    </w:p>
    <w:p w14:paraId="494111AE"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0501CBF"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bookmarkStart w:id="15" w:name="co_pp_sp_999_5_1"/>
      <w:bookmarkEnd w:id="15"/>
      <w:r>
        <w:rPr>
          <w:rFonts w:ascii="Times New Roman" w:hAnsi="Times New Roman" w:cs="Times New Roman"/>
          <w:b/>
          <w:bCs/>
          <w:color w:val="000000"/>
          <w:sz w:val="20"/>
          <w:szCs w:val="20"/>
        </w:rPr>
        <w:t>*5</w:t>
      </w:r>
      <w:r>
        <w:rPr>
          <w:rFonts w:ascii="Times New Roman" w:hAnsi="Times New Roman" w:cs="Times New Roman"/>
          <w:color w:val="000000"/>
          <w:sz w:val="20"/>
          <w:szCs w:val="20"/>
        </w:rPr>
        <w:t xml:space="preserve"> Judge Cooper agreed and, accordingly, granted summary judgment in Plaintiffs’ favor. As he explained, “[a]t the 90-day stage, the question is not whether [listing] </w:t>
      </w:r>
      <w:r>
        <w:rPr>
          <w:rFonts w:ascii="Times New Roman" w:hAnsi="Times New Roman" w:cs="Times New Roman"/>
          <w:i/>
          <w:iCs/>
          <w:color w:val="000000"/>
          <w:sz w:val="20"/>
          <w:szCs w:val="20"/>
        </w:rPr>
        <w:t>is</w:t>
      </w:r>
      <w:r>
        <w:rPr>
          <w:rFonts w:ascii="Times New Roman" w:hAnsi="Times New Roman" w:cs="Times New Roman"/>
          <w:color w:val="000000"/>
          <w:sz w:val="20"/>
          <w:szCs w:val="20"/>
        </w:rPr>
        <w:t xml:space="preserve"> warranted, only whether it </w:t>
      </w:r>
      <w:r>
        <w:rPr>
          <w:rFonts w:ascii="Times New Roman" w:hAnsi="Times New Roman" w:cs="Times New Roman"/>
          <w:i/>
          <w:iCs/>
          <w:color w:val="000000"/>
          <w:sz w:val="20"/>
          <w:szCs w:val="20"/>
        </w:rPr>
        <w:t>may</w:t>
      </w:r>
      <w:r>
        <w:rPr>
          <w:rFonts w:ascii="Times New Roman" w:hAnsi="Times New Roman" w:cs="Times New Roman"/>
          <w:color w:val="000000"/>
          <w:sz w:val="20"/>
          <w:szCs w:val="20"/>
        </w:rPr>
        <w:t xml:space="preserve"> be.” </w:t>
      </w:r>
      <w:hyperlink r:id="rId32" w:anchor="co_pp_sp_7903_109"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at 109</w:t>
        </w:r>
      </w:hyperlink>
      <w:r>
        <w:rPr>
          <w:rFonts w:ascii="Times New Roman" w:hAnsi="Times New Roman" w:cs="Times New Roman"/>
          <w:color w:val="000000"/>
          <w:sz w:val="20"/>
          <w:szCs w:val="20"/>
        </w:rPr>
        <w:t xml:space="preserve"> (quoting </w:t>
      </w:r>
      <w:hyperlink r:id="rId33" w:anchor="co_pp_sp_999_7" w:history="1">
        <w:r>
          <w:rPr>
            <w:rFonts w:ascii="Times New Roman" w:hAnsi="Times New Roman" w:cs="Times New Roman"/>
            <w:i/>
            <w:iCs/>
            <w:color w:val="0E568C"/>
            <w:sz w:val="20"/>
            <w:szCs w:val="20"/>
          </w:rPr>
          <w:t>Ctr. for Bio. Diversity v. Kempthorne</w:t>
        </w:r>
        <w:r>
          <w:rPr>
            <w:rFonts w:ascii="Times New Roman" w:hAnsi="Times New Roman" w:cs="Times New Roman"/>
            <w:color w:val="0E568C"/>
            <w:sz w:val="20"/>
            <w:szCs w:val="20"/>
          </w:rPr>
          <w:t>, No. 06-04186, 2007 WL 163244, at *7 (N.D. Cal. Jan. 19, 2007)</w:t>
        </w:r>
      </w:hyperlink>
      <w:r>
        <w:rPr>
          <w:rFonts w:ascii="Times New Roman" w:hAnsi="Times New Roman" w:cs="Times New Roman"/>
          <w:color w:val="000000"/>
          <w:sz w:val="20"/>
          <w:szCs w:val="20"/>
        </w:rPr>
        <w:t xml:space="preserve">). “ ‘[W]here there is disagreement among reasonable scientists, the Service should make the “may be warranted” finding.’ ”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(quoting </w:t>
      </w:r>
      <w:hyperlink r:id="rId34" w:anchor="co_pp_sp_999_7" w:history="1">
        <w:r>
          <w:rPr>
            <w:rFonts w:ascii="Times New Roman" w:hAnsi="Times New Roman" w:cs="Times New Roman"/>
            <w:i/>
            <w:iCs/>
            <w:color w:val="0E568C"/>
            <w:sz w:val="20"/>
            <w:szCs w:val="20"/>
          </w:rPr>
          <w:t>Kempthorne</w:t>
        </w:r>
        <w:r>
          <w:rPr>
            <w:rFonts w:ascii="Times New Roman" w:hAnsi="Times New Roman" w:cs="Times New Roman"/>
            <w:color w:val="0E568C"/>
            <w:sz w:val="20"/>
            <w:szCs w:val="20"/>
          </w:rPr>
          <w:t>, 2007 WL 163244, at *7</w:t>
        </w:r>
      </w:hyperlink>
      <w:r>
        <w:rPr>
          <w:rFonts w:ascii="Times New Roman" w:hAnsi="Times New Roman" w:cs="Times New Roman"/>
          <w:color w:val="000000"/>
          <w:sz w:val="20"/>
          <w:szCs w:val="20"/>
        </w:rPr>
        <w:t xml:space="preserve">). By picking between two opposing views in an ongoing scientific dispute, the Court concluded, the Service had “applied an inappropriately heightened standard to the evaluation” of whether to institute a listing proceeding. </w:t>
      </w:r>
      <w:hyperlink r:id="rId35" w:anchor="co_pp_sp_7903_110"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at 110</w:t>
        </w:r>
      </w:hyperlink>
      <w:r>
        <w:rPr>
          <w:rFonts w:ascii="Times New Roman" w:hAnsi="Times New Roman" w:cs="Times New Roman"/>
          <w:color w:val="000000"/>
          <w:sz w:val="20"/>
          <w:szCs w:val="20"/>
        </w:rPr>
        <w:t xml:space="preserve">. That error rendered “the Service’s decision arbitrary and capricious[ ] and entitle[d] [Plaintiffs] to summary judgment in [their] favor.” </w:t>
      </w:r>
      <w:hyperlink r:id="rId36" w:anchor="co_pp_sp_7903_111"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at 111</w:t>
        </w:r>
      </w:hyperlink>
      <w:r>
        <w:rPr>
          <w:rFonts w:ascii="Times New Roman" w:hAnsi="Times New Roman" w:cs="Times New Roman"/>
          <w:color w:val="000000"/>
          <w:sz w:val="20"/>
          <w:szCs w:val="20"/>
        </w:rPr>
        <w:t xml:space="preserve">. The Court, however, rejected Plaintiffs’ request that the Court “direct the Service to” skip past the 90-day petition stage and “begin a 12-month review” and, instead, remanded the matter “to the Service to allow it to conduct a 90-day finding using the appropriate standard.” </w:t>
      </w:r>
      <w:hyperlink r:id="rId37" w:anchor="co_pp_sp_7903_111"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at 111–12</w:t>
        </w:r>
      </w:hyperlink>
      <w:r>
        <w:rPr>
          <w:rFonts w:ascii="Times New Roman" w:hAnsi="Times New Roman" w:cs="Times New Roman"/>
          <w:color w:val="000000"/>
          <w:sz w:val="20"/>
          <w:szCs w:val="20"/>
        </w:rPr>
        <w:t>.</w:t>
      </w:r>
    </w:p>
    <w:p w14:paraId="7C6BB1BC"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A8E7E25"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Shortly thereafter, James Horsley submitted another petition, Dkt. 25-1; Dkt. 25-2 at 6–402, this one recommending that the Service recognize two separate DPSs for the Yellowstone bison: a central herd DPS and a northern herd DPS. Dkt. 25-1 at 16; Dkt. 20-1 at 15. On September 6, 2019, the Service issued its 90-day finding on this petition and the prior two petitions, which were pending on remand. Dkt. 25-2 at 411–33. As in its 2016 90-</w:t>
      </w:r>
      <w:r>
        <w:rPr>
          <w:rFonts w:ascii="Times New Roman" w:hAnsi="Times New Roman" w:cs="Times New Roman"/>
          <w:color w:val="000000"/>
          <w:sz w:val="20"/>
          <w:szCs w:val="20"/>
        </w:rPr>
        <w:t xml:space="preserve">day finding, the Service “conclude[d] that there is substantial information supporting a potential designation of [Yellowstone] bison as a single DPS of the Plains bison subspecies.”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414. But, once again, the Service also found that “the petitions do not provide substantial scientific or commercial information indicating that listing the [Yellowstone] bison ... as a threatened or endangered species may be warranted.”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426.</w:t>
      </w:r>
    </w:p>
    <w:p w14:paraId="578A2D3A"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AF5F777"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Plaintiffs filed this suit against the Secretary of the Interior, the Service, and its Director (“Defendants”) on March 23, 2020. Dkt. 1 (Compl.). This time around, they press eight theories: they allege that the 2019 90-day finding (1) failed “to correct the deficiencies” identified by this Court in </w:t>
      </w:r>
      <w:r>
        <w:rPr>
          <w:rFonts w:ascii="Times New Roman" w:hAnsi="Times New Roman" w:cs="Times New Roman"/>
          <w:i/>
          <w:iCs/>
          <w:color w:val="000000"/>
          <w:sz w:val="20"/>
          <w:szCs w:val="20"/>
        </w:rPr>
        <w:t>Buffalo Field Campaign I</w:t>
      </w:r>
      <w:r>
        <w:rPr>
          <w:rFonts w:ascii="Times New Roman" w:hAnsi="Times New Roman" w:cs="Times New Roman"/>
          <w:color w:val="000000"/>
          <w:sz w:val="20"/>
          <w:szCs w:val="20"/>
        </w:rPr>
        <w:t xml:space="preserve">, “thereby [once again] applying an improper legal standard; (2) failed properly to consider whether listing the Yellowstone bison may be warranted due to “curtailment in all or a significant portion of its range;” (3) failed rationally to “address the threat of overutilization on the DPS of Yellowstone bison due to aggressive overhunting and culling;” (4) failed “to adequately analyze the foreseeable risk to the DPS of Yellowstone bison due to climate change;” (5) improperly relied “on the IBMP as an adequate source of regulatory protection;” (6) applied “incorrect legal standards;” (7) ignored “the plain language of the ESA that requires [the Service] to initiate a status review if a petition presents substantial evidence that a species may be endangered or threatened due to one or more of the five factors [set forth in </w:t>
      </w:r>
      <w:hyperlink r:id="rId38" w:anchor="co_pp_7b9b000044381" w:history="1">
        <w:r>
          <w:rPr>
            <w:rFonts w:ascii="Times New Roman" w:hAnsi="Times New Roman" w:cs="Times New Roman"/>
            <w:color w:val="0E568C"/>
            <w:sz w:val="20"/>
            <w:szCs w:val="20"/>
          </w:rPr>
          <w:t>Section 1533(a)(1)</w:t>
        </w:r>
      </w:hyperlink>
      <w:r>
        <w:rPr>
          <w:rFonts w:ascii="Times New Roman" w:hAnsi="Times New Roman" w:cs="Times New Roman"/>
          <w:color w:val="000000"/>
          <w:sz w:val="20"/>
          <w:szCs w:val="20"/>
        </w:rPr>
        <w:t xml:space="preserve">];” and (8) was “otherwise arbitrary, capricious, [or] contrary to law in violation of the ESA” and the APA.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23 (Compl. ¶ 124). For relief, Plaintiffs ask the Court to declare that Defendants violated the ESA and/or APA; vacate the 2019 90-day finding; remand the matter to the Service to render a corrected 90-day finding; or, preferably, skip over the 90-day-finding stage and order Defendants to proceed directly to a 12-month status review.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23–24 (Compl.).</w:t>
      </w:r>
    </w:p>
    <w:p w14:paraId="7923718F"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FC8795A"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parties’ cross-motions for summary judgment are now before the Court. </w:t>
      </w:r>
      <w:r>
        <w:rPr>
          <w:rFonts w:ascii="Times New Roman" w:hAnsi="Times New Roman" w:cs="Times New Roman"/>
          <w:i/>
          <w:iCs/>
          <w:color w:val="000000"/>
          <w:sz w:val="20"/>
          <w:szCs w:val="20"/>
        </w:rPr>
        <w:t>See</w:t>
      </w:r>
      <w:r>
        <w:rPr>
          <w:rFonts w:ascii="Times New Roman" w:hAnsi="Times New Roman" w:cs="Times New Roman"/>
          <w:color w:val="000000"/>
          <w:sz w:val="20"/>
          <w:szCs w:val="20"/>
        </w:rPr>
        <w:t xml:space="preserve"> Dkt. 19; Dkt. 20-1; </w:t>
      </w:r>
      <w:r>
        <w:rPr>
          <w:rFonts w:ascii="Times New Roman" w:hAnsi="Times New Roman" w:cs="Times New Roman"/>
          <w:i/>
          <w:iCs/>
          <w:color w:val="000000"/>
          <w:sz w:val="20"/>
          <w:szCs w:val="20"/>
        </w:rPr>
        <w:t>see also</w:t>
      </w:r>
      <w:r>
        <w:rPr>
          <w:rFonts w:ascii="Times New Roman" w:hAnsi="Times New Roman" w:cs="Times New Roman"/>
          <w:color w:val="000000"/>
          <w:sz w:val="20"/>
          <w:szCs w:val="20"/>
        </w:rPr>
        <w:t xml:space="preserve"> Dkt. 22; Dkt. 24.</w:t>
      </w:r>
    </w:p>
    <w:p w14:paraId="28E45C05"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BAAFBFD"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bookmarkStart w:id="16" w:name="co_anchor_I01419ef17ac011ec9d2cf9521495b"/>
      <w:bookmarkEnd w:id="16"/>
    </w:p>
    <w:p w14:paraId="49920063" w14:textId="77777777" w:rsidR="001855D2" w:rsidRDefault="005A740A">
      <w:pPr>
        <w:widowControl w:val="0"/>
        <w:autoSpaceDE w:val="0"/>
        <w:autoSpaceDN w:val="0"/>
        <w:adjustRightInd w:val="0"/>
        <w:spacing w:before="400" w:after="20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II. LEGAL STANDARD</w:t>
      </w:r>
    </w:p>
    <w:p w14:paraId="0125A9E4"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Under </w:t>
      </w:r>
      <w:hyperlink r:id="rId39" w:history="1">
        <w:r>
          <w:rPr>
            <w:rFonts w:ascii="Times New Roman" w:hAnsi="Times New Roman" w:cs="Times New Roman"/>
            <w:color w:val="0E568C"/>
            <w:sz w:val="20"/>
            <w:szCs w:val="20"/>
          </w:rPr>
          <w:t>Federal Rule of Civil Procedure 56</w:t>
        </w:r>
      </w:hyperlink>
      <w:r>
        <w:rPr>
          <w:rFonts w:ascii="Times New Roman" w:hAnsi="Times New Roman" w:cs="Times New Roman"/>
          <w:color w:val="000000"/>
          <w:sz w:val="20"/>
          <w:szCs w:val="20"/>
        </w:rPr>
        <w:t xml:space="preserve">, summary judgment is ordinarily available if the movant demonstrates “that there is no genuine dispute as to any material fact and” that, based on the uncontested facts, “the movant is entitled to judgment as a matter of law.” </w:t>
      </w:r>
      <w:hyperlink r:id="rId40" w:history="1">
        <w:r>
          <w:rPr>
            <w:rFonts w:ascii="Times New Roman" w:hAnsi="Times New Roman" w:cs="Times New Roman"/>
            <w:color w:val="0E568C"/>
            <w:sz w:val="20"/>
            <w:szCs w:val="20"/>
          </w:rPr>
          <w:t>Fed. R. Civ. P. 56(a)</w:t>
        </w:r>
      </w:hyperlink>
      <w:r>
        <w:rPr>
          <w:rFonts w:ascii="Times New Roman" w:hAnsi="Times New Roman" w:cs="Times New Roman"/>
          <w:color w:val="000000"/>
          <w:sz w:val="20"/>
          <w:szCs w:val="20"/>
        </w:rPr>
        <w:t xml:space="preserve">. In the unique context of a case brought under the APA, however, the district court “sit[s] as an appellate </w:t>
      </w:r>
      <w:r>
        <w:rPr>
          <w:rFonts w:ascii="Times New Roman" w:hAnsi="Times New Roman" w:cs="Times New Roman"/>
          <w:color w:val="000000"/>
          <w:sz w:val="20"/>
          <w:szCs w:val="20"/>
        </w:rPr>
        <w:lastRenderedPageBreak/>
        <w:t xml:space="preserve">tribunal,” </w:t>
      </w:r>
      <w:hyperlink r:id="rId41" w:anchor="co_pp_sp_350_1222" w:history="1">
        <w:r>
          <w:rPr>
            <w:rFonts w:ascii="Times New Roman" w:hAnsi="Times New Roman" w:cs="Times New Roman"/>
            <w:i/>
            <w:iCs/>
            <w:color w:val="0E568C"/>
            <w:sz w:val="20"/>
            <w:szCs w:val="20"/>
          </w:rPr>
          <w:t>Marshall Cnty. Health Care Auth. v. Shalala</w:t>
        </w:r>
        <w:r>
          <w:rPr>
            <w:rFonts w:ascii="Times New Roman" w:hAnsi="Times New Roman" w:cs="Times New Roman"/>
            <w:color w:val="0E568C"/>
            <w:sz w:val="20"/>
            <w:szCs w:val="20"/>
          </w:rPr>
          <w:t>, 988 F.2d 1221, 1222–23 (D.C. Cir. 1993)</w:t>
        </w:r>
      </w:hyperlink>
      <w:r>
        <w:rPr>
          <w:rFonts w:ascii="Times New Roman" w:hAnsi="Times New Roman" w:cs="Times New Roman"/>
          <w:color w:val="000000"/>
          <w:sz w:val="20"/>
          <w:szCs w:val="20"/>
        </w:rPr>
        <w:t xml:space="preserve">, to decide “as a matter of law [whether] the agency action is supported by the administrative record and is otherwise consistent with the APA standard of review,” </w:t>
      </w:r>
      <w:hyperlink r:id="rId42" w:anchor="co_pp_sp_4637_280" w:history="1">
        <w:r>
          <w:rPr>
            <w:rFonts w:ascii="Times New Roman" w:hAnsi="Times New Roman" w:cs="Times New Roman"/>
            <w:i/>
            <w:iCs/>
            <w:color w:val="0E568C"/>
            <w:sz w:val="20"/>
            <w:szCs w:val="20"/>
          </w:rPr>
          <w:t>Coal. for Common Sense in Gov’t Procurement v. United States</w:t>
        </w:r>
        <w:r>
          <w:rPr>
            <w:rFonts w:ascii="Times New Roman" w:hAnsi="Times New Roman" w:cs="Times New Roman"/>
            <w:color w:val="0E568C"/>
            <w:sz w:val="20"/>
            <w:szCs w:val="20"/>
          </w:rPr>
          <w:t>, 821 F. Supp. 2d 275, 280 (D.D.C. 2011)</w:t>
        </w:r>
      </w:hyperlink>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see also</w:t>
      </w:r>
      <w:r>
        <w:rPr>
          <w:rFonts w:ascii="Times New Roman" w:hAnsi="Times New Roman" w:cs="Times New Roman"/>
          <w:color w:val="000000"/>
          <w:sz w:val="20"/>
          <w:szCs w:val="20"/>
        </w:rPr>
        <w:t xml:space="preserve"> </w:t>
      </w:r>
      <w:hyperlink r:id="rId43" w:anchor="co_pp_sp_780_415" w:history="1">
        <w:r>
          <w:rPr>
            <w:rFonts w:ascii="Times New Roman" w:hAnsi="Times New Roman" w:cs="Times New Roman"/>
            <w:i/>
            <w:iCs/>
            <w:color w:val="0E568C"/>
            <w:sz w:val="20"/>
            <w:szCs w:val="20"/>
          </w:rPr>
          <w:t>Citizens to Preserve Overton Park, Inc. v. Volpe</w:t>
        </w:r>
        <w:r>
          <w:rPr>
            <w:rFonts w:ascii="Times New Roman" w:hAnsi="Times New Roman" w:cs="Times New Roman"/>
            <w:color w:val="0E568C"/>
            <w:sz w:val="20"/>
            <w:szCs w:val="20"/>
          </w:rPr>
          <w:t>, 401 U.S. 402, 415 (1971)</w:t>
        </w:r>
      </w:hyperlink>
      <w:r>
        <w:rPr>
          <w:rFonts w:ascii="Times New Roman" w:hAnsi="Times New Roman" w:cs="Times New Roman"/>
          <w:color w:val="000000"/>
          <w:sz w:val="20"/>
          <w:szCs w:val="20"/>
        </w:rPr>
        <w:t xml:space="preserve">; </w:t>
      </w:r>
      <w:hyperlink r:id="rId44" w:anchor="co_pp_sp_506_1341" w:history="1">
        <w:r>
          <w:rPr>
            <w:rFonts w:ascii="Times New Roman" w:hAnsi="Times New Roman" w:cs="Times New Roman"/>
            <w:i/>
            <w:iCs/>
            <w:color w:val="0E568C"/>
            <w:sz w:val="20"/>
            <w:szCs w:val="20"/>
          </w:rPr>
          <w:t>Sw. Merck Corp. v. NLRB</w:t>
        </w:r>
        <w:r>
          <w:rPr>
            <w:rFonts w:ascii="Times New Roman" w:hAnsi="Times New Roman" w:cs="Times New Roman"/>
            <w:color w:val="0E568C"/>
            <w:sz w:val="20"/>
            <w:szCs w:val="20"/>
          </w:rPr>
          <w:t>, 53 F.3d 1334, 1341 (D.C. Cir. 1995)</w:t>
        </w:r>
      </w:hyperlink>
      <w:r>
        <w:rPr>
          <w:rFonts w:ascii="Times New Roman" w:hAnsi="Times New Roman" w:cs="Times New Roman"/>
          <w:color w:val="000000"/>
          <w:sz w:val="20"/>
          <w:szCs w:val="20"/>
        </w:rPr>
        <w:t xml:space="preserve">. In short, it is the role of the administrative agency to “resolve factual issues” and “to arrive at a decision that is supported by the administrative record,” while it is the role of the district court “to determine whether or not as a matter of law the evidence in the administrative record permitted the agency to make the decision it did.” </w:t>
      </w:r>
      <w:hyperlink r:id="rId45" w:anchor="co_pp_sp_4637_18" w:history="1">
        <w:r>
          <w:rPr>
            <w:rFonts w:ascii="Times New Roman" w:hAnsi="Times New Roman" w:cs="Times New Roman"/>
            <w:i/>
            <w:iCs/>
            <w:color w:val="0E568C"/>
            <w:sz w:val="20"/>
            <w:szCs w:val="20"/>
          </w:rPr>
          <w:t>Hi–Tech Pharmacal Co. v. FDA</w:t>
        </w:r>
        <w:r>
          <w:rPr>
            <w:rFonts w:ascii="Times New Roman" w:hAnsi="Times New Roman" w:cs="Times New Roman"/>
            <w:color w:val="0E568C"/>
            <w:sz w:val="20"/>
            <w:szCs w:val="20"/>
          </w:rPr>
          <w:t>, 587 F. Supp. 2d 13, 18 (D.D.C. 2008)</w:t>
        </w:r>
      </w:hyperlink>
      <w:r>
        <w:rPr>
          <w:rFonts w:ascii="Times New Roman" w:hAnsi="Times New Roman" w:cs="Times New Roman"/>
          <w:color w:val="000000"/>
          <w:sz w:val="20"/>
          <w:szCs w:val="20"/>
        </w:rPr>
        <w:t>.</w:t>
      </w:r>
    </w:p>
    <w:p w14:paraId="1CF32DBA"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82DFE41" w14:textId="77777777" w:rsidR="001855D2" w:rsidRDefault="005A740A">
      <w:pPr>
        <w:widowControl w:val="0"/>
        <w:autoSpaceDE w:val="0"/>
        <w:autoSpaceDN w:val="0"/>
        <w:adjustRightInd w:val="0"/>
        <w:jc w:val="both"/>
        <w:rPr>
          <w:rFonts w:ascii="Times New Roman" w:hAnsi="Times New Roman" w:cs="Times New Roman"/>
          <w:i/>
          <w:iCs/>
          <w:color w:val="000000"/>
          <w:sz w:val="20"/>
          <w:szCs w:val="20"/>
        </w:rPr>
      </w:pPr>
      <w:bookmarkStart w:id="17" w:name="co_pp_sp_999_6_1"/>
      <w:bookmarkEnd w:id="17"/>
      <w:r>
        <w:rPr>
          <w:rFonts w:ascii="Times New Roman" w:hAnsi="Times New Roman" w:cs="Times New Roman"/>
          <w:b/>
          <w:bCs/>
          <w:color w:val="000000"/>
          <w:sz w:val="20"/>
          <w:szCs w:val="20"/>
        </w:rPr>
        <w:t>*6</w:t>
      </w:r>
      <w:r>
        <w:rPr>
          <w:rFonts w:ascii="Times New Roman" w:hAnsi="Times New Roman" w:cs="Times New Roman"/>
          <w:color w:val="000000"/>
          <w:sz w:val="20"/>
          <w:szCs w:val="20"/>
        </w:rPr>
        <w:t xml:space="preserve"> In applying this standard, courts must adhere to both the limits and demands of judicial review of administrative action. On the one hand, it is not the Court’s role to substitute its judgment for that of the agency, and that principle applies with particular force in a case, like this one, involving scientific analysis and “technical expertise.” </w:t>
      </w:r>
      <w:hyperlink r:id="rId46" w:anchor="co_pp_sp_780_377" w:history="1">
        <w:r>
          <w:rPr>
            <w:rFonts w:ascii="Times New Roman" w:hAnsi="Times New Roman" w:cs="Times New Roman"/>
            <w:i/>
            <w:iCs/>
            <w:color w:val="0E568C"/>
            <w:sz w:val="20"/>
            <w:szCs w:val="20"/>
          </w:rPr>
          <w:t>Marsh v. Or. Nat. Res. Council</w:t>
        </w:r>
        <w:r>
          <w:rPr>
            <w:rFonts w:ascii="Times New Roman" w:hAnsi="Times New Roman" w:cs="Times New Roman"/>
            <w:color w:val="0E568C"/>
            <w:sz w:val="20"/>
            <w:szCs w:val="20"/>
          </w:rPr>
          <w:t>, 490 U.S. 360, 377 (1989)</w:t>
        </w:r>
      </w:hyperlink>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see Balt.</w:t>
      </w:r>
      <w:r>
        <w:rPr>
          <w:rFonts w:ascii="Times New Roman" w:hAnsi="Times New Roman" w:cs="Times New Roman"/>
          <w:color w:val="000000"/>
          <w:sz w:val="20"/>
          <w:szCs w:val="20"/>
        </w:rPr>
        <w:t xml:space="preserve"> </w:t>
      </w:r>
      <w:hyperlink r:id="rId47" w:anchor="co_pp_sp_780_103" w:history="1">
        <w:r>
          <w:rPr>
            <w:rFonts w:ascii="Times New Roman" w:hAnsi="Times New Roman" w:cs="Times New Roman"/>
            <w:i/>
            <w:iCs/>
            <w:color w:val="0E568C"/>
            <w:sz w:val="20"/>
            <w:szCs w:val="20"/>
          </w:rPr>
          <w:t>Gas &amp; Elec. Co. v. NRDC</w:t>
        </w:r>
        <w:r>
          <w:rPr>
            <w:rFonts w:ascii="Times New Roman" w:hAnsi="Times New Roman" w:cs="Times New Roman"/>
            <w:color w:val="0E568C"/>
            <w:sz w:val="20"/>
            <w:szCs w:val="20"/>
          </w:rPr>
          <w:t>, 462 U.S. 87, 103 (1983)</w:t>
        </w:r>
      </w:hyperlink>
      <w:r>
        <w:rPr>
          <w:rFonts w:ascii="Times New Roman" w:hAnsi="Times New Roman" w:cs="Times New Roman"/>
          <w:color w:val="000000"/>
          <w:sz w:val="20"/>
          <w:szCs w:val="20"/>
        </w:rPr>
        <w:t xml:space="preserve"> (“When examining this kind of scientific determination, ... a reviewing court must generally be at its most deferential.”). An agency is not required to explain its conclusions with crystalline clarity; rather, the APA requires only that the reviewing court be able “reasonably [to] discern[ ]” the “agency’s path.” </w:t>
      </w:r>
      <w:hyperlink r:id="rId48" w:anchor="co_pp_sp_780_497" w:history="1">
        <w:r>
          <w:rPr>
            <w:rFonts w:ascii="Times New Roman" w:hAnsi="Times New Roman" w:cs="Times New Roman"/>
            <w:i/>
            <w:iCs/>
            <w:color w:val="0E568C"/>
            <w:sz w:val="20"/>
            <w:szCs w:val="20"/>
          </w:rPr>
          <w:t>Alaska Dep’t of Env’t Conservation v. EPA</w:t>
        </w:r>
        <w:r>
          <w:rPr>
            <w:rFonts w:ascii="Times New Roman" w:hAnsi="Times New Roman" w:cs="Times New Roman"/>
            <w:color w:val="0E568C"/>
            <w:sz w:val="20"/>
            <w:szCs w:val="20"/>
          </w:rPr>
          <w:t>, 540 U.S. 461, 497 (2004)</w:t>
        </w:r>
      </w:hyperlink>
      <w:r>
        <w:rPr>
          <w:rFonts w:ascii="Times New Roman" w:hAnsi="Times New Roman" w:cs="Times New Roman"/>
          <w:color w:val="000000"/>
          <w:sz w:val="20"/>
          <w:szCs w:val="20"/>
        </w:rPr>
        <w:t xml:space="preserve"> (citation omitted). On the other hand, it is the Court’s job to ensure that the agency’s action is “in accordance with law,” </w:t>
      </w:r>
      <w:hyperlink r:id="rId49" w:anchor="co_pp_64eb0000ab9e4" w:history="1">
        <w:r>
          <w:rPr>
            <w:rFonts w:ascii="Times New Roman" w:hAnsi="Times New Roman" w:cs="Times New Roman"/>
            <w:color w:val="0E568C"/>
            <w:sz w:val="20"/>
            <w:szCs w:val="20"/>
          </w:rPr>
          <w:t>5 U.S.C. § 706(2)(A)</w:t>
        </w:r>
      </w:hyperlink>
      <w:r>
        <w:rPr>
          <w:rFonts w:ascii="Times New Roman" w:hAnsi="Times New Roman" w:cs="Times New Roman"/>
          <w:color w:val="000000"/>
          <w:sz w:val="20"/>
          <w:szCs w:val="20"/>
        </w:rPr>
        <w:t xml:space="preserve">, and that the agency has “examine[d] the relevant data and [has] articulate[d] a satisfactory explanation for its action,” </w:t>
      </w:r>
      <w:hyperlink r:id="rId50" w:anchor="co_pp_sp_780_43" w:history="1">
        <w:r>
          <w:rPr>
            <w:rFonts w:ascii="Times New Roman" w:hAnsi="Times New Roman" w:cs="Times New Roman"/>
            <w:i/>
            <w:iCs/>
            <w:color w:val="0E568C"/>
            <w:sz w:val="20"/>
            <w:szCs w:val="20"/>
          </w:rPr>
          <w:t>Motor Vehicle Mfrs. Ass’n of U.S., Inc. v. State Farm Mut. Auto. Ins. Co.</w:t>
        </w:r>
        <w:r>
          <w:rPr>
            <w:rFonts w:ascii="Times New Roman" w:hAnsi="Times New Roman" w:cs="Times New Roman"/>
            <w:color w:val="0E568C"/>
            <w:sz w:val="20"/>
            <w:szCs w:val="20"/>
          </w:rPr>
          <w:t>, 463 U.S. 29, 43 (1983)</w:t>
        </w:r>
      </w:hyperlink>
      <w:r>
        <w:rPr>
          <w:rFonts w:ascii="Times New Roman" w:hAnsi="Times New Roman" w:cs="Times New Roman"/>
          <w:color w:val="000000"/>
          <w:sz w:val="20"/>
          <w:szCs w:val="20"/>
        </w:rPr>
        <w:t xml:space="preserve">. Although review of the agency’s reasoned decision is deferential, where the agency “entirely fail[s] to consider an important aspect of the problem” at issue, the Court must set the agency’s action aside as “arbitrary and capricious.” </w:t>
      </w:r>
      <w:r>
        <w:rPr>
          <w:rFonts w:ascii="Times New Roman" w:hAnsi="Times New Roman" w:cs="Times New Roman"/>
          <w:i/>
          <w:iCs/>
          <w:color w:val="000000"/>
          <w:sz w:val="20"/>
          <w:szCs w:val="20"/>
        </w:rPr>
        <w:t>Id.</w:t>
      </w:r>
    </w:p>
    <w:p w14:paraId="577FE61B"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0AB7DE9"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p>
    <w:p w14:paraId="2E0A4743" w14:textId="77777777" w:rsidR="001855D2" w:rsidRDefault="005A740A">
      <w:pPr>
        <w:widowControl w:val="0"/>
        <w:autoSpaceDE w:val="0"/>
        <w:autoSpaceDN w:val="0"/>
        <w:adjustRightInd w:val="0"/>
        <w:spacing w:before="400" w:after="20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III. ANALYSIS</w:t>
      </w:r>
    </w:p>
    <w:p w14:paraId="5B5C933B"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bookmarkStart w:id="18" w:name="co_anchor_I01440ff17ac011ec9d2cf9521495b"/>
      <w:bookmarkEnd w:id="18"/>
    </w:p>
    <w:p w14:paraId="098919A0" w14:textId="77777777" w:rsidR="001855D2" w:rsidRDefault="005A740A">
      <w:pPr>
        <w:widowControl w:val="0"/>
        <w:autoSpaceDE w:val="0"/>
        <w:autoSpaceDN w:val="0"/>
        <w:adjustRightInd w:val="0"/>
        <w:spacing w:before="40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 Standing</w:t>
      </w:r>
    </w:p>
    <w:p w14:paraId="6BA8C4C5"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Service does not challenge Plaintiffs’ standing, but the Court must nonetheless satisfy itself that “[a]t least one </w:t>
      </w:r>
      <w:r>
        <w:rPr>
          <w:rFonts w:ascii="Times New Roman" w:hAnsi="Times New Roman" w:cs="Times New Roman"/>
          <w:color w:val="000000"/>
          <w:sz w:val="20"/>
          <w:szCs w:val="20"/>
        </w:rPr>
        <w:t xml:space="preserve">plaintiff [has] standing to seek each form of relief requested in the complaint.” </w:t>
      </w:r>
      <w:hyperlink r:id="rId51" w:anchor="co_pp_sp_708_1651" w:history="1">
        <w:r>
          <w:rPr>
            <w:rFonts w:ascii="Times New Roman" w:hAnsi="Times New Roman" w:cs="Times New Roman"/>
            <w:i/>
            <w:iCs/>
            <w:color w:val="0E568C"/>
            <w:sz w:val="20"/>
            <w:szCs w:val="20"/>
          </w:rPr>
          <w:t>Town of Chester, N.Y. v. Laroe Estates, Inc.</w:t>
        </w:r>
        <w:r>
          <w:rPr>
            <w:rFonts w:ascii="Times New Roman" w:hAnsi="Times New Roman" w:cs="Times New Roman"/>
            <w:color w:val="0E568C"/>
            <w:sz w:val="20"/>
            <w:szCs w:val="20"/>
          </w:rPr>
          <w:t>, 137 S. Ct. 1645, 1651 (2017)</w:t>
        </w:r>
      </w:hyperlink>
      <w:r>
        <w:rPr>
          <w:rFonts w:ascii="Times New Roman" w:hAnsi="Times New Roman" w:cs="Times New Roman"/>
          <w:color w:val="000000"/>
          <w:sz w:val="20"/>
          <w:szCs w:val="20"/>
        </w:rPr>
        <w:t xml:space="preserve">. When an association seeks to invoke the jurisdiction of a federal court, it can establish standing in one of two ways: it can assert “associational standing” to sue on behalf of its members, </w:t>
      </w:r>
      <w:r>
        <w:rPr>
          <w:rFonts w:ascii="Times New Roman" w:hAnsi="Times New Roman" w:cs="Times New Roman"/>
          <w:i/>
          <w:iCs/>
          <w:color w:val="000000"/>
          <w:sz w:val="20"/>
          <w:szCs w:val="20"/>
        </w:rPr>
        <w:t>see</w:t>
      </w:r>
      <w:r>
        <w:rPr>
          <w:rFonts w:ascii="Times New Roman" w:hAnsi="Times New Roman" w:cs="Times New Roman"/>
          <w:color w:val="000000"/>
          <w:sz w:val="20"/>
          <w:szCs w:val="20"/>
        </w:rPr>
        <w:t xml:space="preserve"> </w:t>
      </w:r>
      <w:hyperlink r:id="rId52" w:anchor="co_pp_sp_780_343" w:history="1">
        <w:r>
          <w:rPr>
            <w:rFonts w:ascii="Times New Roman" w:hAnsi="Times New Roman" w:cs="Times New Roman"/>
            <w:i/>
            <w:iCs/>
            <w:color w:val="0E568C"/>
            <w:sz w:val="20"/>
            <w:szCs w:val="20"/>
          </w:rPr>
          <w:t>Hunt v. Wash. State Apple Advert. Comm’n</w:t>
        </w:r>
        <w:r>
          <w:rPr>
            <w:rFonts w:ascii="Times New Roman" w:hAnsi="Times New Roman" w:cs="Times New Roman"/>
            <w:color w:val="0E568C"/>
            <w:sz w:val="20"/>
            <w:szCs w:val="20"/>
          </w:rPr>
          <w:t>, 432 U.S. 333, 343 (1977)</w:t>
        </w:r>
      </w:hyperlink>
      <w:r>
        <w:rPr>
          <w:rFonts w:ascii="Times New Roman" w:hAnsi="Times New Roman" w:cs="Times New Roman"/>
          <w:color w:val="000000"/>
          <w:sz w:val="20"/>
          <w:szCs w:val="20"/>
        </w:rPr>
        <w:t xml:space="preserve">, or it can assert “organizational standing” to sue on its own behalf, </w:t>
      </w:r>
      <w:r>
        <w:rPr>
          <w:rFonts w:ascii="Times New Roman" w:hAnsi="Times New Roman" w:cs="Times New Roman"/>
          <w:i/>
          <w:iCs/>
          <w:color w:val="000000"/>
          <w:sz w:val="20"/>
          <w:szCs w:val="20"/>
        </w:rPr>
        <w:t>see</w:t>
      </w:r>
      <w:r>
        <w:rPr>
          <w:rFonts w:ascii="Times New Roman" w:hAnsi="Times New Roman" w:cs="Times New Roman"/>
          <w:color w:val="000000"/>
          <w:sz w:val="20"/>
          <w:szCs w:val="20"/>
        </w:rPr>
        <w:t xml:space="preserve"> </w:t>
      </w:r>
      <w:hyperlink r:id="rId53" w:anchor="co_pp_sp_506_1093" w:history="1">
        <w:r>
          <w:rPr>
            <w:rFonts w:ascii="Times New Roman" w:hAnsi="Times New Roman" w:cs="Times New Roman"/>
            <w:i/>
            <w:iCs/>
            <w:color w:val="0E568C"/>
            <w:sz w:val="20"/>
            <w:szCs w:val="20"/>
          </w:rPr>
          <w:t>People for the Ethical Treatment of Animals v. USDA</w:t>
        </w:r>
        <w:r>
          <w:rPr>
            <w:rFonts w:ascii="Times New Roman" w:hAnsi="Times New Roman" w:cs="Times New Roman"/>
            <w:color w:val="0E568C"/>
            <w:sz w:val="20"/>
            <w:szCs w:val="20"/>
          </w:rPr>
          <w:t>, 797 F.3d 1087, 1093 (D.C. Cir. 2015)</w:t>
        </w:r>
      </w:hyperlink>
      <w:r>
        <w:rPr>
          <w:rFonts w:ascii="Times New Roman" w:hAnsi="Times New Roman" w:cs="Times New Roman"/>
          <w:color w:val="000000"/>
          <w:sz w:val="20"/>
          <w:szCs w:val="20"/>
        </w:rPr>
        <w:t xml:space="preserve">. Here, Plaintiffs assert associational standing, which requires a showing (1) that the plaintiff has at least one member who “would otherwise have standing to sue in [her] own right;” (2) that “the interests” the association “seeks to protect are germane to [its] purpose;” and (3) that “neither the claim asserted nor the relief requested requires the participation of [the] individual members in the lawsuit.” </w:t>
      </w:r>
      <w:hyperlink r:id="rId54" w:anchor="co_pp_sp_780_343" w:history="1">
        <w:r>
          <w:rPr>
            <w:rFonts w:ascii="Times New Roman" w:hAnsi="Times New Roman" w:cs="Times New Roman"/>
            <w:i/>
            <w:iCs/>
            <w:color w:val="0E568C"/>
            <w:sz w:val="20"/>
            <w:szCs w:val="20"/>
          </w:rPr>
          <w:t>Hunt</w:t>
        </w:r>
        <w:r>
          <w:rPr>
            <w:rFonts w:ascii="Times New Roman" w:hAnsi="Times New Roman" w:cs="Times New Roman"/>
            <w:color w:val="0E568C"/>
            <w:sz w:val="20"/>
            <w:szCs w:val="20"/>
          </w:rPr>
          <w:t>, 432 U.S. at 343</w:t>
        </w:r>
      </w:hyperlink>
      <w:r>
        <w:rPr>
          <w:rFonts w:ascii="Times New Roman" w:hAnsi="Times New Roman" w:cs="Times New Roman"/>
          <w:color w:val="000000"/>
          <w:sz w:val="20"/>
          <w:szCs w:val="20"/>
        </w:rPr>
        <w:t>. Plaintiffs satisfy this standard.</w:t>
      </w:r>
    </w:p>
    <w:p w14:paraId="4491BBDE"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5E108B2"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second and third </w:t>
      </w:r>
      <w:r>
        <w:rPr>
          <w:rFonts w:ascii="Times New Roman" w:hAnsi="Times New Roman" w:cs="Times New Roman"/>
          <w:i/>
          <w:iCs/>
          <w:color w:val="000000"/>
          <w:sz w:val="20"/>
          <w:szCs w:val="20"/>
        </w:rPr>
        <w:t>Hunt</w:t>
      </w:r>
      <w:r>
        <w:rPr>
          <w:rFonts w:ascii="Times New Roman" w:hAnsi="Times New Roman" w:cs="Times New Roman"/>
          <w:color w:val="000000"/>
          <w:sz w:val="20"/>
          <w:szCs w:val="20"/>
        </w:rPr>
        <w:t xml:space="preserve"> factors require only brief mention. To start, the germaneness requirement is readily satisfied. Although the case is brought by three groups, for present purposes, the Court can limit its analysis to Buffalo Field Campaign and Western Watershed. </w:t>
      </w:r>
      <w:r>
        <w:rPr>
          <w:rFonts w:ascii="Times New Roman" w:hAnsi="Times New Roman" w:cs="Times New Roman"/>
          <w:i/>
          <w:iCs/>
          <w:color w:val="000000"/>
          <w:sz w:val="20"/>
          <w:szCs w:val="20"/>
        </w:rPr>
        <w:t>See</w:t>
      </w:r>
      <w:r>
        <w:rPr>
          <w:rFonts w:ascii="Times New Roman" w:hAnsi="Times New Roman" w:cs="Times New Roman"/>
          <w:color w:val="000000"/>
          <w:sz w:val="20"/>
          <w:szCs w:val="20"/>
        </w:rPr>
        <w:t xml:space="preserve"> </w:t>
      </w:r>
      <w:hyperlink r:id="rId55" w:anchor="co_pp_sp_506_9" w:history="1">
        <w:r>
          <w:rPr>
            <w:rFonts w:ascii="Times New Roman" w:hAnsi="Times New Roman" w:cs="Times New Roman"/>
            <w:i/>
            <w:iCs/>
            <w:color w:val="0E568C"/>
            <w:sz w:val="20"/>
            <w:szCs w:val="20"/>
          </w:rPr>
          <w:t>Carpenters Indus. Council v. Zinke</w:t>
        </w:r>
        <w:r>
          <w:rPr>
            <w:rFonts w:ascii="Times New Roman" w:hAnsi="Times New Roman" w:cs="Times New Roman"/>
            <w:color w:val="0E568C"/>
            <w:sz w:val="20"/>
            <w:szCs w:val="20"/>
          </w:rPr>
          <w:t>, 854 F.3d 1, 9 (D.C. Cir. 2017)</w:t>
        </w:r>
      </w:hyperlink>
      <w:r>
        <w:rPr>
          <w:rFonts w:ascii="Times New Roman" w:hAnsi="Times New Roman" w:cs="Times New Roman"/>
          <w:color w:val="000000"/>
          <w:sz w:val="20"/>
          <w:szCs w:val="20"/>
        </w:rPr>
        <w:t xml:space="preserve"> (noting that, if constitutional standing “can be shown for at least one plaintiff, [the court] need not consider the standing of the other plaintiffs to raise that claim”) (quoting </w:t>
      </w:r>
      <w:hyperlink r:id="rId56" w:anchor="co_pp_sp_506_1232" w:history="1">
        <w:r>
          <w:rPr>
            <w:rFonts w:ascii="Times New Roman" w:hAnsi="Times New Roman" w:cs="Times New Roman"/>
            <w:i/>
            <w:iCs/>
            <w:color w:val="0E568C"/>
            <w:sz w:val="20"/>
            <w:szCs w:val="20"/>
          </w:rPr>
          <w:t>Mountain States Legal Found. v. Glickman</w:t>
        </w:r>
        <w:r>
          <w:rPr>
            <w:rFonts w:ascii="Times New Roman" w:hAnsi="Times New Roman" w:cs="Times New Roman"/>
            <w:color w:val="0E568C"/>
            <w:sz w:val="20"/>
            <w:szCs w:val="20"/>
          </w:rPr>
          <w:t>, 92 F.3d 1228, 1232 (D.C. Cir. 1996)</w:t>
        </w:r>
      </w:hyperlink>
      <w:r>
        <w:rPr>
          <w:rFonts w:ascii="Times New Roman" w:hAnsi="Times New Roman" w:cs="Times New Roman"/>
          <w:color w:val="000000"/>
          <w:sz w:val="20"/>
          <w:szCs w:val="20"/>
        </w:rPr>
        <w:t xml:space="preserve">). The purposes of both groups include protecting the Yellowstone bison. As its name suggests, the mission of Buffalo Field Campaign is to protect wild bison and their natural habitat. Dkt. 1 at 4 (Compl. ¶ 14). And, although the mission of Western Watershed Project is broader, that mission includes protecting western wildlife. </w:t>
      </w:r>
      <w:hyperlink r:id="rId57" w:anchor="co_pp_sp_506_4"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at 4–5</w:t>
        </w:r>
      </w:hyperlink>
      <w:r>
        <w:rPr>
          <w:rFonts w:ascii="Times New Roman" w:hAnsi="Times New Roman" w:cs="Times New Roman"/>
          <w:color w:val="000000"/>
          <w:sz w:val="20"/>
          <w:szCs w:val="20"/>
        </w:rPr>
        <w:t xml:space="preserve"> (Compl. ¶ 15). Those purposes are reflected in the decisions of both organizations to petition the Service to list the Yellowstone bison. Nothing more is required to satisfy the germaneness requirement. Similarly, the third factor—the suitability of an associational action—poses no hurdle. Given the nature of Plaintiffs’ claim, there is no reason to believe that the relief requested requires the participation of individual members. To the contrary, naming an individual member would do nothing to facilitate an appropriate remedy.</w:t>
      </w:r>
    </w:p>
    <w:p w14:paraId="45174E5C"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A25F404"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That leaves the first </w:t>
      </w:r>
      <w:r>
        <w:rPr>
          <w:rFonts w:ascii="Times New Roman" w:hAnsi="Times New Roman" w:cs="Times New Roman"/>
          <w:i/>
          <w:iCs/>
          <w:color w:val="000000"/>
          <w:sz w:val="20"/>
          <w:szCs w:val="20"/>
        </w:rPr>
        <w:t>Hunt</w:t>
      </w:r>
      <w:r>
        <w:rPr>
          <w:rFonts w:ascii="Times New Roman" w:hAnsi="Times New Roman" w:cs="Times New Roman"/>
          <w:color w:val="000000"/>
          <w:sz w:val="20"/>
          <w:szCs w:val="20"/>
        </w:rPr>
        <w:t xml:space="preserve"> factor—whether at least one member of one of the associations would otherwise have standing to sue in her own right. To establish Article III standing, the plaintiff—or, here, the member—“must have suffered an ‘injury in fact’—an invasion of a legally protected interest which is (a) concrete and particularized and (b) actual or imminent, not conjectural or </w:t>
      </w:r>
      <w:r>
        <w:rPr>
          <w:rFonts w:ascii="Times New Roman" w:hAnsi="Times New Roman" w:cs="Times New Roman"/>
          <w:color w:val="000000"/>
          <w:sz w:val="20"/>
          <w:szCs w:val="20"/>
        </w:rPr>
        <w:lastRenderedPageBreak/>
        <w:t xml:space="preserve">hypothetical.” </w:t>
      </w:r>
      <w:hyperlink r:id="rId58" w:anchor="co_pp_sp_780_560" w:history="1">
        <w:r>
          <w:rPr>
            <w:rFonts w:ascii="Times New Roman" w:hAnsi="Times New Roman" w:cs="Times New Roman"/>
            <w:i/>
            <w:iCs/>
            <w:color w:val="0E568C"/>
            <w:sz w:val="20"/>
            <w:szCs w:val="20"/>
          </w:rPr>
          <w:t>Lujan v. Defs. of Wildlife</w:t>
        </w:r>
        <w:r>
          <w:rPr>
            <w:rFonts w:ascii="Times New Roman" w:hAnsi="Times New Roman" w:cs="Times New Roman"/>
            <w:color w:val="0E568C"/>
            <w:sz w:val="20"/>
            <w:szCs w:val="20"/>
          </w:rPr>
          <w:t>, 504 U.S. 555, 560 (1992)</w:t>
        </w:r>
      </w:hyperlink>
      <w:r>
        <w:rPr>
          <w:rFonts w:ascii="Times New Roman" w:hAnsi="Times New Roman" w:cs="Times New Roman"/>
          <w:color w:val="000000"/>
          <w:sz w:val="20"/>
          <w:szCs w:val="20"/>
        </w:rPr>
        <w:t xml:space="preserve"> (quotation marks and citations omitted). Second, “there must be a causal connection between the injury and the conduct complained of—the injury has to be ‘fairly ... trace[able] to the challenged action of the defendant, and not ... th[e] result [of] the independent action of some third party not before the court.’ ”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(alterations in original). Third, “it must be ‘likely,’ as opposed to merely ‘speculative,’ that the injury will be ‘redressed by a favorable decision.’ ” </w:t>
      </w:r>
      <w:hyperlink r:id="rId59" w:anchor="co_pp_sp_780_561"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at 561</w:t>
        </w:r>
      </w:hyperlink>
      <w:r>
        <w:rPr>
          <w:rFonts w:ascii="Times New Roman" w:hAnsi="Times New Roman" w:cs="Times New Roman"/>
          <w:color w:val="000000"/>
          <w:sz w:val="20"/>
          <w:szCs w:val="20"/>
        </w:rPr>
        <w:t xml:space="preserve">. In cases alleging a procedural injury, “the courts relax—while not wholly eliminating—the issues of imminence and redressability, but not the issues of injury in fact or causation.” </w:t>
      </w:r>
      <w:hyperlink r:id="rId60" w:anchor="co_pp_sp_506_1157" w:history="1">
        <w:r>
          <w:rPr>
            <w:rFonts w:ascii="Times New Roman" w:hAnsi="Times New Roman" w:cs="Times New Roman"/>
            <w:i/>
            <w:iCs/>
            <w:color w:val="0E568C"/>
            <w:sz w:val="20"/>
            <w:szCs w:val="20"/>
          </w:rPr>
          <w:t>Ctr. for Law &amp; Educ. v. Dep’t of Educ.</w:t>
        </w:r>
        <w:r>
          <w:rPr>
            <w:rFonts w:ascii="Times New Roman" w:hAnsi="Times New Roman" w:cs="Times New Roman"/>
            <w:color w:val="0E568C"/>
            <w:sz w:val="20"/>
            <w:szCs w:val="20"/>
          </w:rPr>
          <w:t>, 396 F.3d 1152, 1157 (D.C. Cir. 2005)</w:t>
        </w:r>
      </w:hyperlink>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see also</w:t>
      </w:r>
      <w:r>
        <w:rPr>
          <w:rFonts w:ascii="Times New Roman" w:hAnsi="Times New Roman" w:cs="Times New Roman"/>
          <w:color w:val="000000"/>
          <w:sz w:val="20"/>
          <w:szCs w:val="20"/>
        </w:rPr>
        <w:t xml:space="preserve"> </w:t>
      </w:r>
      <w:hyperlink r:id="rId61" w:anchor="co_pp_sp_780_517" w:history="1">
        <w:r>
          <w:rPr>
            <w:rFonts w:ascii="Times New Roman" w:hAnsi="Times New Roman" w:cs="Times New Roman"/>
            <w:i/>
            <w:iCs/>
            <w:color w:val="0E568C"/>
            <w:sz w:val="20"/>
            <w:szCs w:val="20"/>
          </w:rPr>
          <w:t>Massachusetts v. EPA</w:t>
        </w:r>
        <w:r>
          <w:rPr>
            <w:rFonts w:ascii="Times New Roman" w:hAnsi="Times New Roman" w:cs="Times New Roman"/>
            <w:color w:val="0E568C"/>
            <w:sz w:val="20"/>
            <w:szCs w:val="20"/>
          </w:rPr>
          <w:t>, 549 U.S. 497, 517–18</w:t>
        </w:r>
      </w:hyperlink>
      <w:r>
        <w:rPr>
          <w:rFonts w:ascii="Times New Roman" w:hAnsi="Times New Roman" w:cs="Times New Roman"/>
          <w:color w:val="000000"/>
          <w:sz w:val="20"/>
          <w:szCs w:val="20"/>
        </w:rPr>
        <w:t xml:space="preserve">. As a result, in a procedural injury case, the “litigant has standing if there is some possibility that the requested relief will prompt the injury-causing party to reconsider the decision that allegedly harmed the litigant.” </w:t>
      </w:r>
      <w:hyperlink r:id="rId62" w:anchor="co_pp_sp_780_518" w:history="1">
        <w:r>
          <w:rPr>
            <w:rFonts w:ascii="Times New Roman" w:hAnsi="Times New Roman" w:cs="Times New Roman"/>
            <w:i/>
            <w:iCs/>
            <w:color w:val="0E568C"/>
            <w:sz w:val="20"/>
            <w:szCs w:val="20"/>
          </w:rPr>
          <w:t>Massachusetts</w:t>
        </w:r>
        <w:r>
          <w:rPr>
            <w:rFonts w:ascii="Times New Roman" w:hAnsi="Times New Roman" w:cs="Times New Roman"/>
            <w:color w:val="0E568C"/>
            <w:sz w:val="20"/>
            <w:szCs w:val="20"/>
          </w:rPr>
          <w:t>, 549 U.S. at 518</w:t>
        </w:r>
      </w:hyperlink>
      <w:r>
        <w:rPr>
          <w:rFonts w:ascii="Times New Roman" w:hAnsi="Times New Roman" w:cs="Times New Roman"/>
          <w:color w:val="000000"/>
          <w:sz w:val="20"/>
          <w:szCs w:val="20"/>
        </w:rPr>
        <w:t>.</w:t>
      </w:r>
    </w:p>
    <w:p w14:paraId="0D0F1A11"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767C523"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bookmarkStart w:id="19" w:name="co_pp_sp_999_7_1"/>
      <w:bookmarkEnd w:id="19"/>
      <w:r>
        <w:rPr>
          <w:rFonts w:ascii="Times New Roman" w:hAnsi="Times New Roman" w:cs="Times New Roman"/>
          <w:b/>
          <w:bCs/>
          <w:color w:val="000000"/>
          <w:sz w:val="20"/>
          <w:szCs w:val="20"/>
        </w:rPr>
        <w:t>*7</w:t>
      </w:r>
      <w:r>
        <w:rPr>
          <w:rFonts w:ascii="Times New Roman" w:hAnsi="Times New Roman" w:cs="Times New Roman"/>
          <w:color w:val="000000"/>
          <w:sz w:val="20"/>
          <w:szCs w:val="20"/>
        </w:rPr>
        <w:t xml:space="preserve"> To meet this burden, Plaintiffs submit two declarations. In the first declaration, Michael Shepard Mease, the cofounder of Buffalo Field Campaign, attests that he lives in West Yellowstone, Montana, and patrols the Yellowstone bison’s habitat to learn about the animals and to record them for his professional work as a videographer. Dkt. 19-3 at 1–2 (Mease Decl. ¶¶ 2–5). He further attests that he observes “the Yellowstone buffalo and their habitat for aesthetic, ecological, educational, historical, recreational, professional, spiritual, and scientific purposes,”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1–2 (Mease Decl. ¶ 3), and that he is “directly harmed by actions that eliminate buffalo from their habitat on federal, state, and private lands,”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3 (Mease Decl. ¶11). In the second, Joshua Osher, a member of Western Watersheds Project, explains that he serves as the organization’s Public Policy Director and has been “living, working and recreating in and around Yellowstone National Park” for fifteen years. Dkt. 19-4 at 1–2 (Osher Decl. ¶¶ 3, 5, 6). He attests that he frequently visits the Yellowstone area and intends to return to the “area at least several times a year for the rest of [his] life in order to see bison and other wildlife in the region,”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2 (Osher Decl. ¶¶ 8–9), and that the Service’s failure to list the Yellowstone bison “harms [his] interest in the continued existence of the Yellowstone bison and its protection and recovery throughout its historic range,”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4 (Osher Decl. ¶ 21); </w:t>
      </w:r>
      <w:r>
        <w:rPr>
          <w:rFonts w:ascii="Times New Roman" w:hAnsi="Times New Roman" w:cs="Times New Roman"/>
          <w:i/>
          <w:iCs/>
          <w:color w:val="000000"/>
          <w:sz w:val="20"/>
          <w:szCs w:val="20"/>
        </w:rPr>
        <w:t>see also</w:t>
      </w:r>
      <w:r>
        <w:rPr>
          <w:rFonts w:ascii="Times New Roman" w:hAnsi="Times New Roman" w:cs="Times New Roman"/>
          <w:color w:val="000000"/>
          <w:sz w:val="20"/>
          <w:szCs w:val="20"/>
        </w:rPr>
        <w:t xml:space="preserve"> Dkt. 1 at 6 (Compl. ¶ 18) (alleging that “the decision to deny ESA protections for Yellowstone bison, will cause direct injury to the aesthetic, recreational, scientific, conservation, educational, and cultural interests that the plaintiff organizations and their members maintain in the continued existence, observation, and study of bison). These declarations demonstrate that at least one </w:t>
      </w:r>
      <w:r>
        <w:rPr>
          <w:rFonts w:ascii="Times New Roman" w:hAnsi="Times New Roman" w:cs="Times New Roman"/>
          <w:color w:val="000000"/>
          <w:sz w:val="20"/>
          <w:szCs w:val="20"/>
        </w:rPr>
        <w:t xml:space="preserve">identified member of Buffalo Field Campaign and one identified member of Western Watershed Project have “concrete interests [that are] affected” by the Service’s denial of their 90-day petition and that there is some possibility that the requested relief—including requiring the Service to reevaluate its decision under the correct evidentiary standard—will prompt the Service to reconsider the decision that allegedly harmed them. </w:t>
      </w:r>
      <w:hyperlink r:id="rId63" w:anchor="co_pp_sp_780_572" w:history="1">
        <w:r>
          <w:rPr>
            <w:rFonts w:ascii="Times New Roman" w:hAnsi="Times New Roman" w:cs="Times New Roman"/>
            <w:i/>
            <w:iCs/>
            <w:color w:val="0E568C"/>
            <w:sz w:val="20"/>
            <w:szCs w:val="20"/>
          </w:rPr>
          <w:t>Lujan</w:t>
        </w:r>
        <w:r>
          <w:rPr>
            <w:rFonts w:ascii="Times New Roman" w:hAnsi="Times New Roman" w:cs="Times New Roman"/>
            <w:color w:val="0E568C"/>
            <w:sz w:val="20"/>
            <w:szCs w:val="20"/>
          </w:rPr>
          <w:t>, 504 U.S. at 572 n.7</w:t>
        </w:r>
      </w:hyperlink>
      <w:r>
        <w:rPr>
          <w:rFonts w:ascii="Times New Roman" w:hAnsi="Times New Roman" w:cs="Times New Roman"/>
          <w:color w:val="000000"/>
          <w:sz w:val="20"/>
          <w:szCs w:val="20"/>
        </w:rPr>
        <w:t>.</w:t>
      </w:r>
    </w:p>
    <w:p w14:paraId="030283B8"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283DF92"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The Court, accordingly, concludes that Plaintiffs have standing.</w:t>
      </w:r>
    </w:p>
    <w:p w14:paraId="6824A095"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0315BFA"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p>
    <w:p w14:paraId="60A27C94"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bookmarkStart w:id="20" w:name="co_anchor_I014a03617ac011ec9d2cf9521495b"/>
      <w:bookmarkEnd w:id="20"/>
    </w:p>
    <w:p w14:paraId="54923625" w14:textId="77777777" w:rsidR="001855D2" w:rsidRDefault="005A740A">
      <w:pPr>
        <w:widowControl w:val="0"/>
        <w:autoSpaceDE w:val="0"/>
        <w:autoSpaceDN w:val="0"/>
        <w:adjustRightInd w:val="0"/>
        <w:spacing w:before="40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B. Merits</w:t>
      </w:r>
    </w:p>
    <w:p w14:paraId="0834175D" w14:textId="77777777" w:rsidR="001855D2" w:rsidRDefault="005A740A">
      <w:pPr>
        <w:widowControl w:val="0"/>
        <w:autoSpaceDE w:val="0"/>
        <w:autoSpaceDN w:val="0"/>
        <w:adjustRightInd w:val="0"/>
        <w:jc w:val="both"/>
        <w:rPr>
          <w:rFonts w:ascii="Times New Roman" w:hAnsi="Times New Roman" w:cs="Times New Roman"/>
          <w:i/>
          <w:iCs/>
          <w:color w:val="000000"/>
          <w:sz w:val="20"/>
          <w:szCs w:val="20"/>
        </w:rPr>
      </w:pPr>
      <w:r>
        <w:rPr>
          <w:rFonts w:ascii="Times New Roman" w:hAnsi="Times New Roman" w:cs="Times New Roman"/>
          <w:color w:val="000000"/>
          <w:sz w:val="20"/>
          <w:szCs w:val="20"/>
        </w:rPr>
        <w:t xml:space="preserve">Turing to the merits, the Court starts where Judge Cooper left off. Relying on the text of </w:t>
      </w:r>
      <w:hyperlink r:id="rId64" w:anchor="co_pp_609d000059b95" w:history="1">
        <w:r>
          <w:rPr>
            <w:rFonts w:ascii="Times New Roman" w:hAnsi="Times New Roman" w:cs="Times New Roman"/>
            <w:color w:val="0E568C"/>
            <w:sz w:val="20"/>
            <w:szCs w:val="20"/>
          </w:rPr>
          <w:t>Section 1533(b)(3)(A)</w:t>
        </w:r>
      </w:hyperlink>
      <w:r>
        <w:rPr>
          <w:rFonts w:ascii="Times New Roman" w:hAnsi="Times New Roman" w:cs="Times New Roman"/>
          <w:color w:val="000000"/>
          <w:sz w:val="20"/>
          <w:szCs w:val="20"/>
        </w:rPr>
        <w:t xml:space="preserve">, the implementing regulation, and judicial precedent, he held that at the 90-day petition stage the Service is not permitted to resolve substantial disagreements among “reasonable scientists.” </w:t>
      </w:r>
      <w:hyperlink r:id="rId65" w:anchor="co_pp_sp_7903_109" w:history="1">
        <w:r>
          <w:rPr>
            <w:rFonts w:ascii="Times New Roman" w:hAnsi="Times New Roman" w:cs="Times New Roman"/>
            <w:i/>
            <w:iCs/>
            <w:color w:val="0E568C"/>
            <w:sz w:val="20"/>
            <w:szCs w:val="20"/>
          </w:rPr>
          <w:t>Buffalo Field Campaign I</w:t>
        </w:r>
        <w:r>
          <w:rPr>
            <w:rFonts w:ascii="Times New Roman" w:hAnsi="Times New Roman" w:cs="Times New Roman"/>
            <w:color w:val="0E568C"/>
            <w:sz w:val="20"/>
            <w:szCs w:val="20"/>
          </w:rPr>
          <w:t>, 289 F. Supp. 3d at 109</w:t>
        </w:r>
      </w:hyperlink>
      <w:r>
        <w:rPr>
          <w:rFonts w:ascii="Times New Roman" w:hAnsi="Times New Roman" w:cs="Times New Roman"/>
          <w:color w:val="000000"/>
          <w:sz w:val="20"/>
          <w:szCs w:val="20"/>
        </w:rPr>
        <w:t xml:space="preserve">. As Judge Cooper explained, </w:t>
      </w:r>
      <w:hyperlink r:id="rId66" w:anchor="co_pp_609d000059b95" w:history="1">
        <w:r>
          <w:rPr>
            <w:rFonts w:ascii="Times New Roman" w:hAnsi="Times New Roman" w:cs="Times New Roman"/>
            <w:color w:val="0E568C"/>
            <w:sz w:val="20"/>
            <w:szCs w:val="20"/>
          </w:rPr>
          <w:t>Section 1533(b)(3)(A)</w:t>
        </w:r>
      </w:hyperlink>
      <w:r>
        <w:rPr>
          <w:rFonts w:ascii="Times New Roman" w:hAnsi="Times New Roman" w:cs="Times New Roman"/>
          <w:color w:val="000000"/>
          <w:sz w:val="20"/>
          <w:szCs w:val="20"/>
        </w:rPr>
        <w:t xml:space="preserve"> requires the Service to make an affirmative finding at this preliminary stage if “the petition presents substantial scientific or commercial information indicating that the petitioned action </w:t>
      </w:r>
      <w:r>
        <w:rPr>
          <w:rFonts w:ascii="Times New Roman" w:hAnsi="Times New Roman" w:cs="Times New Roman"/>
          <w:i/>
          <w:iCs/>
          <w:color w:val="000000"/>
          <w:sz w:val="20"/>
          <w:szCs w:val="20"/>
        </w:rPr>
        <w:t>may</w:t>
      </w:r>
      <w:r>
        <w:rPr>
          <w:rFonts w:ascii="Times New Roman" w:hAnsi="Times New Roman" w:cs="Times New Roman"/>
          <w:color w:val="000000"/>
          <w:sz w:val="20"/>
          <w:szCs w:val="20"/>
        </w:rPr>
        <w:t xml:space="preserve"> be warranted.” </w:t>
      </w:r>
      <w:hyperlink r:id="rId67" w:anchor="co_pp_609d000059b95" w:history="1">
        <w:r>
          <w:rPr>
            <w:rFonts w:ascii="Times New Roman" w:hAnsi="Times New Roman" w:cs="Times New Roman"/>
            <w:color w:val="0E568C"/>
            <w:sz w:val="20"/>
            <w:szCs w:val="20"/>
          </w:rPr>
          <w:t>16 U.S.C. § 1533(b)(3)(A)</w:t>
        </w:r>
      </w:hyperlink>
      <w:r>
        <w:rPr>
          <w:rFonts w:ascii="Times New Roman" w:hAnsi="Times New Roman" w:cs="Times New Roman"/>
          <w:color w:val="000000"/>
          <w:sz w:val="20"/>
          <w:szCs w:val="20"/>
        </w:rPr>
        <w:t xml:space="preserve"> (emphasis added). The implementing regulations, in turn, specify that “substantial scientific or commercial information” means “credible scientific or commercial information in support of the petition’s claim such that a reasonable person conducting an impartial scientific review would conclude that the action proposed in the petition </w:t>
      </w:r>
      <w:r>
        <w:rPr>
          <w:rFonts w:ascii="Times New Roman" w:hAnsi="Times New Roman" w:cs="Times New Roman"/>
          <w:i/>
          <w:iCs/>
          <w:color w:val="000000"/>
          <w:sz w:val="20"/>
          <w:szCs w:val="20"/>
        </w:rPr>
        <w:t>may</w:t>
      </w:r>
      <w:r>
        <w:rPr>
          <w:rFonts w:ascii="Times New Roman" w:hAnsi="Times New Roman" w:cs="Times New Roman"/>
          <w:color w:val="000000"/>
          <w:sz w:val="20"/>
          <w:szCs w:val="20"/>
        </w:rPr>
        <w:t xml:space="preserve"> be warranted.” </w:t>
      </w:r>
      <w:hyperlink r:id="rId68" w:anchor="co_pp_b4e500006fdf6" w:history="1">
        <w:r>
          <w:rPr>
            <w:rFonts w:ascii="Times New Roman" w:hAnsi="Times New Roman" w:cs="Times New Roman"/>
            <w:color w:val="0E568C"/>
            <w:sz w:val="20"/>
            <w:szCs w:val="20"/>
          </w:rPr>
          <w:t>50 C.F.R. § 424.14(h)(1)</w:t>
        </w:r>
      </w:hyperlink>
      <w:r>
        <w:rPr>
          <w:rFonts w:ascii="Times New Roman" w:hAnsi="Times New Roman" w:cs="Times New Roman"/>
          <w:color w:val="000000"/>
          <w:sz w:val="20"/>
          <w:szCs w:val="20"/>
        </w:rPr>
        <w:t xml:space="preserve"> (emphasis added).</w:t>
      </w:r>
      <w:bookmarkStart w:id="21" w:name="co_fnRef_B00032055372206_ID0EHKBG_1"/>
      <w:bookmarkEnd w:id="21"/>
      <w:r>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 xml:space="preserve">HYPERLINK "#co_footnote_B00032055372206_1" </w:instrText>
      </w:r>
      <w:r>
        <w:rPr>
          <w:rFonts w:ascii="Times New Roman" w:hAnsi="Times New Roman" w:cs="Times New Roman"/>
          <w:color w:val="000000"/>
          <w:sz w:val="16"/>
          <w:szCs w:val="16"/>
        </w:rPr>
        <w:fldChar w:fldCharType="separate"/>
      </w:r>
      <w:r>
        <w:rPr>
          <w:rFonts w:ascii="Times New Roman" w:hAnsi="Times New Roman" w:cs="Times New Roman"/>
          <w:color w:val="0E568C"/>
          <w:sz w:val="16"/>
          <w:szCs w:val="16"/>
          <w:vertAlign w:val="superscript"/>
        </w:rPr>
        <w:t>3</w:t>
      </w:r>
      <w:r>
        <w:rPr>
          <w:rFonts w:ascii="Times New Roman" w:hAnsi="Times New Roman" w:cs="Times New Roman"/>
          <w:color w:val="000000"/>
          <w:sz w:val="16"/>
          <w:szCs w:val="16"/>
        </w:rPr>
        <w:fldChar w:fldCharType="end"/>
      </w:r>
      <w:r>
        <w:rPr>
          <w:rFonts w:ascii="Times New Roman" w:hAnsi="Times New Roman" w:cs="Times New Roman"/>
          <w:color w:val="000000"/>
          <w:sz w:val="20"/>
          <w:szCs w:val="20"/>
        </w:rPr>
        <w:t xml:space="preserve"> Because these rules do not ask “whether the designation </w:t>
      </w:r>
      <w:r>
        <w:rPr>
          <w:rFonts w:ascii="Times New Roman" w:hAnsi="Times New Roman" w:cs="Times New Roman"/>
          <w:i/>
          <w:iCs/>
          <w:color w:val="000000"/>
          <w:sz w:val="20"/>
          <w:szCs w:val="20"/>
        </w:rPr>
        <w:t>is</w:t>
      </w:r>
      <w:r>
        <w:rPr>
          <w:rFonts w:ascii="Times New Roman" w:hAnsi="Times New Roman" w:cs="Times New Roman"/>
          <w:color w:val="000000"/>
          <w:sz w:val="20"/>
          <w:szCs w:val="20"/>
        </w:rPr>
        <w:t xml:space="preserve"> warranted, only whether it </w:t>
      </w:r>
      <w:r>
        <w:rPr>
          <w:rFonts w:ascii="Times New Roman" w:hAnsi="Times New Roman" w:cs="Times New Roman"/>
          <w:i/>
          <w:iCs/>
          <w:color w:val="000000"/>
          <w:sz w:val="20"/>
          <w:szCs w:val="20"/>
        </w:rPr>
        <w:t>may</w:t>
      </w:r>
      <w:r>
        <w:rPr>
          <w:rFonts w:ascii="Times New Roman" w:hAnsi="Times New Roman" w:cs="Times New Roman"/>
          <w:color w:val="000000"/>
          <w:sz w:val="20"/>
          <w:szCs w:val="20"/>
        </w:rPr>
        <w:t xml:space="preserve"> be,” </w:t>
      </w:r>
      <w:hyperlink r:id="rId69" w:anchor="co_pp_sp_7903_109" w:history="1">
        <w:r>
          <w:rPr>
            <w:rFonts w:ascii="Times New Roman" w:hAnsi="Times New Roman" w:cs="Times New Roman"/>
            <w:i/>
            <w:iCs/>
            <w:color w:val="0E568C"/>
            <w:sz w:val="20"/>
            <w:szCs w:val="20"/>
          </w:rPr>
          <w:t>Buffalo Field Campaign I</w:t>
        </w:r>
        <w:r>
          <w:rPr>
            <w:rFonts w:ascii="Times New Roman" w:hAnsi="Times New Roman" w:cs="Times New Roman"/>
            <w:color w:val="0E568C"/>
            <w:sz w:val="20"/>
            <w:szCs w:val="20"/>
          </w:rPr>
          <w:t>, 289 F. Supp. 3d at 109</w:t>
        </w:r>
      </w:hyperlink>
      <w:r>
        <w:rPr>
          <w:rFonts w:ascii="Times New Roman" w:hAnsi="Times New Roman" w:cs="Times New Roman"/>
          <w:color w:val="000000"/>
          <w:sz w:val="20"/>
          <w:szCs w:val="20"/>
        </w:rPr>
        <w:t xml:space="preserve"> (quoting </w:t>
      </w:r>
      <w:hyperlink r:id="rId70" w:anchor="co_pp_sp_999_7" w:history="1">
        <w:r>
          <w:rPr>
            <w:rFonts w:ascii="Times New Roman" w:hAnsi="Times New Roman" w:cs="Times New Roman"/>
            <w:i/>
            <w:iCs/>
            <w:color w:val="0E568C"/>
            <w:sz w:val="20"/>
            <w:szCs w:val="20"/>
          </w:rPr>
          <w:t>Ctr. for Bio. Diversity</w:t>
        </w:r>
        <w:r>
          <w:rPr>
            <w:rFonts w:ascii="Times New Roman" w:hAnsi="Times New Roman" w:cs="Times New Roman"/>
            <w:color w:val="0E568C"/>
            <w:sz w:val="20"/>
            <w:szCs w:val="20"/>
          </w:rPr>
          <w:t>, 2007 WL 163244, at *7</w:t>
        </w:r>
      </w:hyperlink>
      <w:r>
        <w:rPr>
          <w:rFonts w:ascii="Times New Roman" w:hAnsi="Times New Roman" w:cs="Times New Roman"/>
          <w:color w:val="000000"/>
          <w:sz w:val="20"/>
          <w:szCs w:val="20"/>
        </w:rPr>
        <w:t xml:space="preserve">), Judge Cooper concluded that “the 90-day standard does not allow the Service to simply discount scientific studies that support the petition or to resolve reasonable extant scientific disputes against the petition,” </w:t>
      </w:r>
      <w:hyperlink r:id="rId71" w:anchor="co_pp_sp_7903_110"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at 110</w:t>
        </w:r>
      </w:hyperlink>
      <w:r>
        <w:rPr>
          <w:rFonts w:ascii="Times New Roman" w:hAnsi="Times New Roman" w:cs="Times New Roman"/>
          <w:color w:val="000000"/>
          <w:sz w:val="20"/>
          <w:szCs w:val="20"/>
        </w:rPr>
        <w:t xml:space="preserve">. As a result, the Service must either “explain[ ] why the scientific studies that the petition cites are unreliable, irrelevant, or otherwise unreasonable” or must “credit the evidence presented.” </w:t>
      </w:r>
      <w:r>
        <w:rPr>
          <w:rFonts w:ascii="Times New Roman" w:hAnsi="Times New Roman" w:cs="Times New Roman"/>
          <w:i/>
          <w:iCs/>
          <w:color w:val="000000"/>
          <w:sz w:val="20"/>
          <w:szCs w:val="20"/>
        </w:rPr>
        <w:t>Id.</w:t>
      </w:r>
    </w:p>
    <w:p w14:paraId="5171102B"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986231A"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Applying this evidentiary standard, Judge Cooper concluded that </w:t>
      </w:r>
      <w:r>
        <w:rPr>
          <w:rFonts w:ascii="Times New Roman" w:hAnsi="Times New Roman" w:cs="Times New Roman"/>
          <w:i/>
          <w:iCs/>
          <w:color w:val="000000"/>
          <w:sz w:val="20"/>
          <w:szCs w:val="20"/>
        </w:rPr>
        <w:t>Buffalo Field Campaign I</w:t>
      </w:r>
      <w:r>
        <w:rPr>
          <w:rFonts w:ascii="Times New Roman" w:hAnsi="Times New Roman" w:cs="Times New Roman"/>
          <w:color w:val="000000"/>
          <w:sz w:val="20"/>
          <w:szCs w:val="20"/>
        </w:rPr>
        <w:t xml:space="preserve"> presented “a relatively straightforward example of such a scientific dispute.” </w:t>
      </w:r>
      <w:hyperlink r:id="rId72" w:anchor="co_pp_sp_1037_66462" w:history="1">
        <w:r>
          <w:rPr>
            <w:rFonts w:ascii="Times New Roman" w:hAnsi="Times New Roman" w:cs="Times New Roman"/>
            <w:i/>
            <w:iCs/>
            <w:color w:val="0E568C"/>
            <w:sz w:val="20"/>
            <w:szCs w:val="20"/>
          </w:rPr>
          <w:t>Id.</w:t>
        </w:r>
      </w:hyperlink>
      <w:r>
        <w:rPr>
          <w:rFonts w:ascii="Times New Roman" w:hAnsi="Times New Roman" w:cs="Times New Roman"/>
          <w:color w:val="000000"/>
          <w:sz w:val="20"/>
          <w:szCs w:val="20"/>
        </w:rPr>
        <w:t xml:space="preserve"> In particular, the Halbert study reported “that there are two genetically distinct subpopulations of bison in Yellowstone,” and that conclusion called “into question </w:t>
      </w:r>
      <w:r>
        <w:rPr>
          <w:rFonts w:ascii="Times New Roman" w:hAnsi="Times New Roman" w:cs="Times New Roman"/>
          <w:color w:val="000000"/>
          <w:sz w:val="20"/>
          <w:szCs w:val="20"/>
        </w:rPr>
        <w:lastRenderedPageBreak/>
        <w:t xml:space="preserve">the 3,000 bison population target set by the IBMP for the entire herd.” </w:t>
      </w:r>
      <w:hyperlink r:id="rId73" w:anchor="co_pp_sp_1037_66462" w:history="1">
        <w:r>
          <w:rPr>
            <w:rFonts w:ascii="Times New Roman" w:hAnsi="Times New Roman" w:cs="Times New Roman"/>
            <w:i/>
            <w:iCs/>
            <w:color w:val="0E568C"/>
            <w:sz w:val="20"/>
            <w:szCs w:val="20"/>
          </w:rPr>
          <w:t>Id.</w:t>
        </w:r>
      </w:hyperlink>
      <w:r>
        <w:rPr>
          <w:rFonts w:ascii="Times New Roman" w:hAnsi="Times New Roman" w:cs="Times New Roman"/>
          <w:color w:val="000000"/>
          <w:sz w:val="20"/>
          <w:szCs w:val="20"/>
        </w:rPr>
        <w:t xml:space="preserve"> In other words, if two genetically distinct herds reside in the park, each herd must maintain “a population that is large enough to ensure that herd’s ... survival.” </w:t>
      </w:r>
      <w:hyperlink r:id="rId74" w:anchor="co_pp_sp_1037_66462" w:history="1">
        <w:r>
          <w:rPr>
            <w:rFonts w:ascii="Times New Roman" w:hAnsi="Times New Roman" w:cs="Times New Roman"/>
            <w:i/>
            <w:iCs/>
            <w:color w:val="0E568C"/>
            <w:sz w:val="20"/>
            <w:szCs w:val="20"/>
          </w:rPr>
          <w:t>Id.</w:t>
        </w:r>
      </w:hyperlink>
      <w:r>
        <w:rPr>
          <w:rFonts w:ascii="Times New Roman" w:hAnsi="Times New Roman" w:cs="Times New Roman"/>
          <w:color w:val="000000"/>
          <w:sz w:val="20"/>
          <w:szCs w:val="20"/>
        </w:rPr>
        <w:t xml:space="preserve"> And because “other studies have suggested that around 3,000 bison are needed to ensure a herd’s survival, ... this suggests that the 3,000 bison population target for </w:t>
      </w:r>
      <w:r>
        <w:rPr>
          <w:rFonts w:ascii="Times New Roman" w:hAnsi="Times New Roman" w:cs="Times New Roman"/>
          <w:i/>
          <w:iCs/>
          <w:color w:val="000000"/>
          <w:sz w:val="20"/>
          <w:szCs w:val="20"/>
        </w:rPr>
        <w:t>both</w:t>
      </w:r>
      <w:r>
        <w:rPr>
          <w:rFonts w:ascii="Times New Roman" w:hAnsi="Times New Roman" w:cs="Times New Roman"/>
          <w:color w:val="000000"/>
          <w:sz w:val="20"/>
          <w:szCs w:val="20"/>
        </w:rPr>
        <w:t xml:space="preserve"> herds is to low to ensure that </w:t>
      </w:r>
      <w:r>
        <w:rPr>
          <w:rFonts w:ascii="Times New Roman" w:hAnsi="Times New Roman" w:cs="Times New Roman"/>
          <w:i/>
          <w:iCs/>
          <w:color w:val="000000"/>
          <w:sz w:val="20"/>
          <w:szCs w:val="20"/>
        </w:rPr>
        <w:t>each</w:t>
      </w:r>
      <w:r>
        <w:rPr>
          <w:rFonts w:ascii="Times New Roman" w:hAnsi="Times New Roman" w:cs="Times New Roman"/>
          <w:color w:val="000000"/>
          <w:sz w:val="20"/>
          <w:szCs w:val="20"/>
        </w:rPr>
        <w:t xml:space="preserve"> herd will survive.” </w:t>
      </w:r>
      <w:hyperlink r:id="rId75" w:anchor="co_pp_sp_1037_66462" w:history="1">
        <w:r>
          <w:rPr>
            <w:rFonts w:ascii="Times New Roman" w:hAnsi="Times New Roman" w:cs="Times New Roman"/>
            <w:i/>
            <w:iCs/>
            <w:color w:val="0E568C"/>
            <w:sz w:val="20"/>
            <w:szCs w:val="20"/>
          </w:rPr>
          <w:t>Id.</w:t>
        </w:r>
      </w:hyperlink>
    </w:p>
    <w:p w14:paraId="29FD8259"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D7E6B5E"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bookmarkStart w:id="22" w:name="co_pp_sp_999_8_1"/>
      <w:bookmarkEnd w:id="22"/>
      <w:r>
        <w:rPr>
          <w:rFonts w:ascii="Times New Roman" w:hAnsi="Times New Roman" w:cs="Times New Roman"/>
          <w:b/>
          <w:bCs/>
          <w:color w:val="000000"/>
          <w:sz w:val="20"/>
          <w:szCs w:val="20"/>
        </w:rPr>
        <w:t>*8</w:t>
      </w:r>
      <w:r>
        <w:rPr>
          <w:rFonts w:ascii="Times New Roman" w:hAnsi="Times New Roman" w:cs="Times New Roman"/>
          <w:color w:val="000000"/>
          <w:sz w:val="20"/>
          <w:szCs w:val="20"/>
        </w:rPr>
        <w:t xml:space="preserve"> As Judge Cooper further observed, the Service’s 2015 finding offered “two responses to the Halbert study,” neither of which even suggested that the study was “unreliable, irrelevant, or otherwise unreasonable.” </w:t>
      </w:r>
      <w:hyperlink r:id="rId76" w:anchor="co_pp_sp_1037_66462" w:history="1">
        <w:r>
          <w:rPr>
            <w:rFonts w:ascii="Times New Roman" w:hAnsi="Times New Roman" w:cs="Times New Roman"/>
            <w:i/>
            <w:iCs/>
            <w:color w:val="0E568C"/>
            <w:sz w:val="20"/>
            <w:szCs w:val="20"/>
          </w:rPr>
          <w:t>Id.</w:t>
        </w:r>
      </w:hyperlink>
      <w:r>
        <w:rPr>
          <w:rFonts w:ascii="Times New Roman" w:hAnsi="Times New Roman" w:cs="Times New Roman"/>
          <w:color w:val="000000"/>
          <w:sz w:val="20"/>
          <w:szCs w:val="20"/>
        </w:rPr>
        <w:t xml:space="preserve"> First, the Service posited “that the IBMP sets population management targets for the two herds separately.” </w:t>
      </w:r>
      <w:hyperlink r:id="rId77" w:anchor="co_pp_sp_1037_66462" w:history="1">
        <w:r>
          <w:rPr>
            <w:rFonts w:ascii="Times New Roman" w:hAnsi="Times New Roman" w:cs="Times New Roman"/>
            <w:i/>
            <w:iCs/>
            <w:color w:val="0E568C"/>
            <w:sz w:val="20"/>
            <w:szCs w:val="20"/>
          </w:rPr>
          <w:t>Id.</w:t>
        </w:r>
      </w:hyperlink>
      <w:r>
        <w:rPr>
          <w:rFonts w:ascii="Times New Roman" w:hAnsi="Times New Roman" w:cs="Times New Roman"/>
          <w:color w:val="000000"/>
          <w:sz w:val="20"/>
          <w:szCs w:val="20"/>
        </w:rPr>
        <w:t xml:space="preserve"> But, as Judge Cooper observed, this response “ignores the inference from the Halbert study that the overall population target is either too low in light of other studies indicating 3,000 bison are needed for each herd ... or inaccurate because it was set before recognizing that the two herds need to be maintained individually.” </w:t>
      </w:r>
      <w:hyperlink r:id="rId78" w:anchor="co_pp_sp_1037_66462" w:history="1">
        <w:r>
          <w:rPr>
            <w:rFonts w:ascii="Times New Roman" w:hAnsi="Times New Roman" w:cs="Times New Roman"/>
            <w:i/>
            <w:iCs/>
            <w:color w:val="0E568C"/>
            <w:sz w:val="20"/>
            <w:szCs w:val="20"/>
          </w:rPr>
          <w:t>Id.</w:t>
        </w:r>
      </w:hyperlink>
      <w:r>
        <w:rPr>
          <w:rFonts w:ascii="Times New Roman" w:hAnsi="Times New Roman" w:cs="Times New Roman"/>
          <w:color w:val="000000"/>
          <w:sz w:val="20"/>
          <w:szCs w:val="20"/>
        </w:rPr>
        <w:t xml:space="preserve"> Second, “the Service ... adopted [the] White and Wallen[ ] [study’s] conclusion that maintenance of subpopulation genetic differentiation and overall genetic diversity may not be crucial for preserving genes.” </w:t>
      </w:r>
      <w:hyperlink r:id="rId79" w:anchor="co_pp_sp_1037_66462" w:history="1">
        <w:r>
          <w:rPr>
            <w:rFonts w:ascii="Times New Roman" w:hAnsi="Times New Roman" w:cs="Times New Roman"/>
            <w:i/>
            <w:iCs/>
            <w:color w:val="0E568C"/>
            <w:sz w:val="20"/>
            <w:szCs w:val="20"/>
          </w:rPr>
          <w:t>Id.</w:t>
        </w:r>
      </w:hyperlink>
      <w:r>
        <w:rPr>
          <w:rFonts w:ascii="Times New Roman" w:hAnsi="Times New Roman" w:cs="Times New Roman"/>
          <w:color w:val="000000"/>
          <w:sz w:val="20"/>
          <w:szCs w:val="20"/>
        </w:rPr>
        <w:t xml:space="preserve"> (quotation marks omitted). But, again, the Service “offered no explanation for why [the] Halbert [study’s] conclusion was irrelevant, unreliable, or unsubstantiated,” nor did it address “why a reasonable person could not rely on the Halbert study over the [other] study.” </w:t>
      </w:r>
      <w:hyperlink r:id="rId80" w:anchor="co_pp_sp_1037_66462" w:history="1">
        <w:r>
          <w:rPr>
            <w:rFonts w:ascii="Times New Roman" w:hAnsi="Times New Roman" w:cs="Times New Roman"/>
            <w:i/>
            <w:iCs/>
            <w:color w:val="0E568C"/>
            <w:sz w:val="20"/>
            <w:szCs w:val="20"/>
          </w:rPr>
          <w:t>Id.</w:t>
        </w:r>
      </w:hyperlink>
      <w:r>
        <w:rPr>
          <w:rFonts w:ascii="Times New Roman" w:hAnsi="Times New Roman" w:cs="Times New Roman"/>
          <w:color w:val="000000"/>
          <w:sz w:val="20"/>
          <w:szCs w:val="20"/>
        </w:rPr>
        <w:t xml:space="preserve"> In short, Judge Cooper held, “the Service simply picked a side in an ongoing debate in the scientific community, which is improper at the 90-day finding stage,”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111, and he, accordingly, remanded the matter to provide the Service “to allow it to conduct a 90-day finding using the appropriate standard,”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112.</w:t>
      </w:r>
    </w:p>
    <w:p w14:paraId="75E9E996"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9B303D3"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Although Plaintiffs raise an array of challenges to the Service’s finding on remand, most turn on the premise that the Service has failed to heed Judge Cooper’s directions and, once again, has applied the incorrect evidentiary standard. More specifically, Plaintiffs maintain that the Service has continued to disregard the Halbert study without explaining why the study does not, at the very least, show that there is substantial disagreement among reasonable scientists regarding genetic differentiation between the herds. Dkt. 19 at 27; </w:t>
      </w:r>
      <w:r>
        <w:rPr>
          <w:rFonts w:ascii="Times New Roman" w:hAnsi="Times New Roman" w:cs="Times New Roman"/>
          <w:i/>
          <w:iCs/>
          <w:color w:val="000000"/>
          <w:sz w:val="20"/>
          <w:szCs w:val="20"/>
        </w:rPr>
        <w:t>see</w:t>
      </w:r>
      <w:r>
        <w:rPr>
          <w:rFonts w:ascii="Times New Roman" w:hAnsi="Times New Roman" w:cs="Times New Roman"/>
          <w:color w:val="000000"/>
          <w:sz w:val="20"/>
          <w:szCs w:val="20"/>
        </w:rPr>
        <w:t xml:space="preserve"> </w:t>
      </w:r>
      <w:hyperlink r:id="rId81" w:anchor="co_pp_sp_7903_110" w:history="1">
        <w:r>
          <w:rPr>
            <w:rFonts w:ascii="Times New Roman" w:hAnsi="Times New Roman" w:cs="Times New Roman"/>
            <w:i/>
            <w:iCs/>
            <w:color w:val="0E568C"/>
            <w:sz w:val="20"/>
            <w:szCs w:val="20"/>
          </w:rPr>
          <w:t>Buffalo Field Campaign I</w:t>
        </w:r>
        <w:r>
          <w:rPr>
            <w:rFonts w:ascii="Times New Roman" w:hAnsi="Times New Roman" w:cs="Times New Roman"/>
            <w:color w:val="0E568C"/>
            <w:sz w:val="20"/>
            <w:szCs w:val="20"/>
          </w:rPr>
          <w:t>, 289 F. Supp. 3d at 110–11</w:t>
        </w:r>
      </w:hyperlink>
      <w:r>
        <w:rPr>
          <w:rFonts w:ascii="Times New Roman" w:hAnsi="Times New Roman" w:cs="Times New Roman"/>
          <w:color w:val="000000"/>
          <w:sz w:val="20"/>
          <w:szCs w:val="20"/>
        </w:rPr>
        <w:t>. And, Plaintiffs continue, the Service has continued to disregard credible, scientific evidence indicating that a target population of 3,000 bison is—or may be—insufficient “to ensure the survival and genetic viability of each [genetically distinct] herd.” Dkt. 19 at 34.</w:t>
      </w:r>
    </w:p>
    <w:p w14:paraId="53A67185"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35DDA2D"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In responding to Plaintiffs’ challenge, the Service does not dispute that the evidentiary standard set forth in </w:t>
      </w:r>
      <w:r>
        <w:rPr>
          <w:rFonts w:ascii="Times New Roman" w:hAnsi="Times New Roman" w:cs="Times New Roman"/>
          <w:i/>
          <w:iCs/>
          <w:color w:val="000000"/>
          <w:sz w:val="20"/>
          <w:szCs w:val="20"/>
        </w:rPr>
        <w:t>Buffalo Field Campaign I</w:t>
      </w:r>
      <w:r>
        <w:rPr>
          <w:rFonts w:ascii="Times New Roman" w:hAnsi="Times New Roman" w:cs="Times New Roman"/>
          <w:color w:val="000000"/>
          <w:sz w:val="20"/>
          <w:szCs w:val="20"/>
        </w:rPr>
        <w:t xml:space="preserve"> is the proper standard. </w:t>
      </w:r>
      <w:r>
        <w:rPr>
          <w:rFonts w:ascii="Times New Roman" w:hAnsi="Times New Roman" w:cs="Times New Roman"/>
          <w:i/>
          <w:iCs/>
          <w:color w:val="000000"/>
          <w:sz w:val="20"/>
          <w:szCs w:val="20"/>
        </w:rPr>
        <w:t>See</w:t>
      </w:r>
      <w:r>
        <w:rPr>
          <w:rFonts w:ascii="Times New Roman" w:hAnsi="Times New Roman" w:cs="Times New Roman"/>
          <w:color w:val="000000"/>
          <w:sz w:val="20"/>
          <w:szCs w:val="20"/>
        </w:rPr>
        <w:t xml:space="preserve"> Dkt. 20-1 at 20, 27. </w:t>
      </w:r>
      <w:r>
        <w:rPr>
          <w:rFonts w:ascii="Times New Roman" w:hAnsi="Times New Roman" w:cs="Times New Roman"/>
          <w:i/>
          <w:iCs/>
          <w:color w:val="000000"/>
          <w:sz w:val="20"/>
          <w:szCs w:val="20"/>
        </w:rPr>
        <w:t>See generally</w:t>
      </w:r>
      <w:r>
        <w:rPr>
          <w:rFonts w:ascii="Times New Roman" w:hAnsi="Times New Roman" w:cs="Times New Roman"/>
          <w:color w:val="000000"/>
          <w:sz w:val="20"/>
          <w:szCs w:val="20"/>
        </w:rPr>
        <w:t xml:space="preserve"> </w:t>
      </w:r>
      <w:hyperlink r:id="rId82" w:anchor="co_pp_sp_7903_109" w:history="1">
        <w:r>
          <w:rPr>
            <w:rFonts w:ascii="Times New Roman" w:hAnsi="Times New Roman" w:cs="Times New Roman"/>
            <w:color w:val="0E568C"/>
            <w:sz w:val="20"/>
            <w:szCs w:val="20"/>
          </w:rPr>
          <w:t>289 F. Supp. 3d at 109</w:t>
        </w:r>
      </w:hyperlink>
      <w:r>
        <w:rPr>
          <w:rFonts w:ascii="Times New Roman" w:hAnsi="Times New Roman" w:cs="Times New Roman"/>
          <w:color w:val="000000"/>
          <w:sz w:val="20"/>
          <w:szCs w:val="20"/>
        </w:rPr>
        <w:t xml:space="preserve"> (citing </w:t>
      </w:r>
      <w:hyperlink r:id="rId83" w:anchor="co_pp_sp_999_7" w:history="1">
        <w:r>
          <w:rPr>
            <w:rFonts w:ascii="Times New Roman" w:hAnsi="Times New Roman" w:cs="Times New Roman"/>
            <w:i/>
            <w:iCs/>
            <w:color w:val="0E568C"/>
            <w:sz w:val="20"/>
            <w:szCs w:val="20"/>
          </w:rPr>
          <w:t>Ctr. for Bio. Diversity</w:t>
        </w:r>
        <w:r>
          <w:rPr>
            <w:rFonts w:ascii="Times New Roman" w:hAnsi="Times New Roman" w:cs="Times New Roman"/>
            <w:color w:val="0E568C"/>
            <w:sz w:val="20"/>
            <w:szCs w:val="20"/>
          </w:rPr>
          <w:t>, 2007 WL 163244, at *7</w:t>
        </w:r>
      </w:hyperlink>
      <w:r>
        <w:rPr>
          <w:rFonts w:ascii="Times New Roman" w:hAnsi="Times New Roman" w:cs="Times New Roman"/>
          <w:color w:val="000000"/>
          <w:sz w:val="20"/>
          <w:szCs w:val="20"/>
        </w:rPr>
        <w:t>). Nor could it. Both the ESA and the implementing regulations require the Service to make an affirmative 90-day finding if the scientific information presented in the petition indicates that the proposed action “</w:t>
      </w:r>
      <w:r>
        <w:rPr>
          <w:rFonts w:ascii="Times New Roman" w:hAnsi="Times New Roman" w:cs="Times New Roman"/>
          <w:i/>
          <w:iCs/>
          <w:color w:val="000000"/>
          <w:sz w:val="20"/>
          <w:szCs w:val="20"/>
        </w:rPr>
        <w:t>may</w:t>
      </w:r>
      <w:r>
        <w:rPr>
          <w:rFonts w:ascii="Times New Roman" w:hAnsi="Times New Roman" w:cs="Times New Roman"/>
          <w:color w:val="000000"/>
          <w:sz w:val="20"/>
          <w:szCs w:val="20"/>
        </w:rPr>
        <w:t xml:space="preserve"> be warranted.” </w:t>
      </w:r>
      <w:hyperlink r:id="rId84" w:anchor="co_pp_609d000059b95" w:history="1">
        <w:r>
          <w:rPr>
            <w:rFonts w:ascii="Times New Roman" w:hAnsi="Times New Roman" w:cs="Times New Roman"/>
            <w:color w:val="0E568C"/>
            <w:sz w:val="20"/>
            <w:szCs w:val="20"/>
          </w:rPr>
          <w:t>16 U.S.C. § 1533(b)(3)(A)</w:t>
        </w:r>
      </w:hyperlink>
      <w:r>
        <w:rPr>
          <w:rFonts w:ascii="Times New Roman" w:hAnsi="Times New Roman" w:cs="Times New Roman"/>
          <w:color w:val="000000"/>
          <w:sz w:val="20"/>
          <w:szCs w:val="20"/>
        </w:rPr>
        <w:t xml:space="preserve"> (emphasis added); </w:t>
      </w:r>
      <w:hyperlink r:id="rId85" w:anchor="co_pp_cc99000077241" w:history="1">
        <w:r>
          <w:rPr>
            <w:rFonts w:ascii="Times New Roman" w:hAnsi="Times New Roman" w:cs="Times New Roman"/>
            <w:color w:val="0E568C"/>
            <w:sz w:val="20"/>
            <w:szCs w:val="20"/>
          </w:rPr>
          <w:t>50 C.F.R. § 424.14(h)(1)(i)</w:t>
        </w:r>
      </w:hyperlink>
      <w:r>
        <w:rPr>
          <w:rFonts w:ascii="Times New Roman" w:hAnsi="Times New Roman" w:cs="Times New Roman"/>
          <w:color w:val="000000"/>
          <w:sz w:val="20"/>
          <w:szCs w:val="20"/>
        </w:rPr>
        <w:t xml:space="preserve"> (emphasis added). As used in this context, the word “may” is a modal verb “[u]sed to indicate a certain measure of likelihood or possibility,” as in the phrase “it may rain.” </w:t>
      </w:r>
      <w:r>
        <w:rPr>
          <w:rFonts w:ascii="Times New Roman" w:hAnsi="Times New Roman" w:cs="Times New Roman"/>
          <w:i/>
          <w:iCs/>
          <w:color w:val="000000"/>
          <w:sz w:val="20"/>
          <w:szCs w:val="20"/>
        </w:rPr>
        <w:t>May</w:t>
      </w:r>
      <w:r>
        <w:rPr>
          <w:rFonts w:ascii="Times New Roman" w:hAnsi="Times New Roman" w:cs="Times New Roman"/>
          <w:color w:val="000000"/>
          <w:sz w:val="20"/>
          <w:szCs w:val="20"/>
        </w:rPr>
        <w:t xml:space="preserve">, American Heritage College Dictionary 839 (3d ed. 2000); </w:t>
      </w:r>
      <w:r>
        <w:rPr>
          <w:rFonts w:ascii="Times New Roman" w:hAnsi="Times New Roman" w:cs="Times New Roman"/>
          <w:i/>
          <w:iCs/>
          <w:color w:val="000000"/>
          <w:sz w:val="20"/>
          <w:szCs w:val="20"/>
        </w:rPr>
        <w:t>see also May</w:t>
      </w:r>
      <w:r>
        <w:rPr>
          <w:rFonts w:ascii="Times New Roman" w:hAnsi="Times New Roman" w:cs="Times New Roman"/>
          <w:color w:val="000000"/>
          <w:sz w:val="20"/>
          <w:szCs w:val="20"/>
        </w:rPr>
        <w:t xml:space="preserve">, Webster’s Third New International Dictionary 1396 (1993) (to “be in some degree likely”); </w:t>
      </w:r>
      <w:r>
        <w:rPr>
          <w:rFonts w:ascii="Times New Roman" w:hAnsi="Times New Roman" w:cs="Times New Roman"/>
          <w:i/>
          <w:iCs/>
          <w:color w:val="000000"/>
          <w:sz w:val="20"/>
          <w:szCs w:val="20"/>
        </w:rPr>
        <w:t>May</w:t>
      </w:r>
      <w:r>
        <w:rPr>
          <w:rFonts w:ascii="Times New Roman" w:hAnsi="Times New Roman" w:cs="Times New Roman"/>
          <w:color w:val="000000"/>
          <w:sz w:val="20"/>
          <w:szCs w:val="20"/>
        </w:rPr>
        <w:t xml:space="preserve">, Chicago Manual of Style 5.147 (17th ed. 2017) (noting that “may” is at times used interchangeably with “might,” although the word “might” often connotes “a stronger sense of doubt”). The surrounding statutory and regulatory texts, moreover, further clarify the nature of the possibility. It is not enough that one can imagine a world in which the Yellowstone bison might be endangered or threatened; any such supposition or hypothesis must find support in “substantial scientific or commercial information,” </w:t>
      </w:r>
      <w:hyperlink r:id="rId86" w:anchor="co_pp_609d000059b95" w:history="1">
        <w:r>
          <w:rPr>
            <w:rFonts w:ascii="Times New Roman" w:hAnsi="Times New Roman" w:cs="Times New Roman"/>
            <w:color w:val="0E568C"/>
            <w:sz w:val="20"/>
            <w:szCs w:val="20"/>
          </w:rPr>
          <w:t>16 U.S.C. § 1533(b)(3)(A)</w:t>
        </w:r>
      </w:hyperlink>
      <w:r>
        <w:rPr>
          <w:rFonts w:ascii="Times New Roman" w:hAnsi="Times New Roman" w:cs="Times New Roman"/>
          <w:color w:val="000000"/>
          <w:sz w:val="20"/>
          <w:szCs w:val="20"/>
        </w:rPr>
        <w:t xml:space="preserve">, that is both “credible” and sufficient to permit “a reasonable person conducting an impartial scientific review [to] conclude that” listing the species, </w:t>
      </w:r>
      <w:hyperlink r:id="rId87" w:anchor="co_pp_cc99000077241" w:history="1">
        <w:r>
          <w:rPr>
            <w:rFonts w:ascii="Times New Roman" w:hAnsi="Times New Roman" w:cs="Times New Roman"/>
            <w:color w:val="0E568C"/>
            <w:sz w:val="20"/>
            <w:szCs w:val="20"/>
          </w:rPr>
          <w:t>50 C.F.R. § 424.14(h)(1)(i)</w:t>
        </w:r>
      </w:hyperlink>
      <w:r>
        <w:rPr>
          <w:rFonts w:ascii="Times New Roman" w:hAnsi="Times New Roman" w:cs="Times New Roman"/>
          <w:color w:val="000000"/>
          <w:sz w:val="20"/>
          <w:szCs w:val="20"/>
        </w:rPr>
        <w:t xml:space="preserve">, is </w:t>
      </w:r>
      <w:r>
        <w:rPr>
          <w:rFonts w:ascii="Times New Roman" w:hAnsi="Times New Roman" w:cs="Times New Roman"/>
          <w:i/>
          <w:iCs/>
          <w:color w:val="000000"/>
          <w:sz w:val="20"/>
          <w:szCs w:val="20"/>
        </w:rPr>
        <w:t>possibly</w:t>
      </w:r>
      <w:r>
        <w:rPr>
          <w:rFonts w:ascii="Times New Roman" w:hAnsi="Times New Roman" w:cs="Times New Roman"/>
          <w:color w:val="000000"/>
          <w:sz w:val="20"/>
          <w:szCs w:val="20"/>
        </w:rPr>
        <w:t xml:space="preserve"> warranted. Significantly, the ESA does not direct the Service to decide whether listing “is warranted” but only to assess whether the petition proffers “substantial” evidence that listing “may be warranted.” </w:t>
      </w:r>
      <w:r>
        <w:rPr>
          <w:rFonts w:ascii="Times New Roman" w:hAnsi="Times New Roman" w:cs="Times New Roman"/>
          <w:i/>
          <w:iCs/>
          <w:color w:val="000000"/>
          <w:sz w:val="20"/>
          <w:szCs w:val="20"/>
        </w:rPr>
        <w:t>Compare</w:t>
      </w:r>
      <w:r>
        <w:rPr>
          <w:rFonts w:ascii="Times New Roman" w:hAnsi="Times New Roman" w:cs="Times New Roman"/>
          <w:color w:val="000000"/>
          <w:sz w:val="20"/>
          <w:szCs w:val="20"/>
        </w:rPr>
        <w:t xml:space="preserve"> </w:t>
      </w:r>
      <w:hyperlink r:id="rId88" w:anchor="co_pp_609d000059b95" w:history="1">
        <w:r>
          <w:rPr>
            <w:rFonts w:ascii="Times New Roman" w:hAnsi="Times New Roman" w:cs="Times New Roman"/>
            <w:color w:val="0E568C"/>
            <w:sz w:val="20"/>
            <w:szCs w:val="20"/>
          </w:rPr>
          <w:t>16 U.S.C. § 1533(b)(3)(A)</w:t>
        </w:r>
      </w:hyperlink>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with</w:t>
      </w:r>
      <w:r>
        <w:rPr>
          <w:rFonts w:ascii="Times New Roman" w:hAnsi="Times New Roman" w:cs="Times New Roman"/>
          <w:color w:val="000000"/>
          <w:sz w:val="20"/>
          <w:szCs w:val="20"/>
        </w:rPr>
        <w:t xml:space="preserve"> </w:t>
      </w:r>
      <w:hyperlink r:id="rId89" w:anchor="co_pp_6a460000f7311"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 1533(b)(3)(B)</w:t>
        </w:r>
      </w:hyperlink>
      <w:r>
        <w:rPr>
          <w:rFonts w:ascii="Times New Roman" w:hAnsi="Times New Roman" w:cs="Times New Roman"/>
          <w:color w:val="000000"/>
          <w:sz w:val="20"/>
          <w:szCs w:val="20"/>
        </w:rPr>
        <w:t>.</w:t>
      </w:r>
    </w:p>
    <w:p w14:paraId="3287C88A"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E2527F5"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structure of the ESA further bolsters the conclusion that the evidentiary standard does not ask whether listing is warranted, but only whether substantial or credible scientific information supports that possibility. First, although the 90-day period is not written in stone, that is the statutory presumption, </w:t>
      </w:r>
      <w:r>
        <w:rPr>
          <w:rFonts w:ascii="Times New Roman" w:hAnsi="Times New Roman" w:cs="Times New Roman"/>
          <w:i/>
          <w:iCs/>
          <w:color w:val="000000"/>
          <w:sz w:val="20"/>
          <w:szCs w:val="20"/>
        </w:rPr>
        <w:t>see</w:t>
      </w:r>
      <w:r>
        <w:rPr>
          <w:rFonts w:ascii="Times New Roman" w:hAnsi="Times New Roman" w:cs="Times New Roman"/>
          <w:color w:val="000000"/>
          <w:sz w:val="20"/>
          <w:szCs w:val="20"/>
        </w:rPr>
        <w:t xml:space="preserve"> </w:t>
      </w:r>
      <w:hyperlink r:id="rId90" w:anchor="co_pp_609d000059b95" w:history="1">
        <w:r>
          <w:rPr>
            <w:rFonts w:ascii="Times New Roman" w:hAnsi="Times New Roman" w:cs="Times New Roman"/>
            <w:color w:val="0E568C"/>
            <w:sz w:val="20"/>
            <w:szCs w:val="20"/>
          </w:rPr>
          <w:t>16 U.S.C. § 1533(b)(3)(A)</w:t>
        </w:r>
      </w:hyperlink>
      <w:r>
        <w:rPr>
          <w:rFonts w:ascii="Times New Roman" w:hAnsi="Times New Roman" w:cs="Times New Roman"/>
          <w:color w:val="000000"/>
          <w:sz w:val="20"/>
          <w:szCs w:val="20"/>
        </w:rPr>
        <w:t xml:space="preserve">, and </w:t>
      </w:r>
      <w:hyperlink r:id="rId91" w:history="1">
        <w:r>
          <w:rPr>
            <w:rFonts w:ascii="Times New Roman" w:hAnsi="Times New Roman" w:cs="Times New Roman"/>
            <w:color w:val="0E568C"/>
            <w:sz w:val="20"/>
            <w:szCs w:val="20"/>
          </w:rPr>
          <w:t>90</w:t>
        </w:r>
      </w:hyperlink>
      <w:r>
        <w:rPr>
          <w:rFonts w:ascii="Times New Roman" w:hAnsi="Times New Roman" w:cs="Times New Roman"/>
          <w:color w:val="000000"/>
          <w:sz w:val="20"/>
          <w:szCs w:val="20"/>
        </w:rPr>
        <w:t xml:space="preserve"> days would constitute a remarkably short time to resolve conflicts among credible scientific studies. Second, a negative determination ends the process with little or no study, while an affirmative determination merely initiates a thorough review conducted in two (or three) further stages. </w:t>
      </w:r>
      <w:hyperlink r:id="rId92" w:anchor="co_pp_6a460000f7311"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 1533(b)(3)(B)</w:t>
        </w:r>
      </w:hyperlink>
      <w:r>
        <w:rPr>
          <w:rFonts w:ascii="Times New Roman" w:hAnsi="Times New Roman" w:cs="Times New Roman"/>
          <w:color w:val="000000"/>
          <w:sz w:val="20"/>
          <w:szCs w:val="20"/>
        </w:rPr>
        <w:t xml:space="preserve">. At the first stage, the Secretary has a year to decide whether listing “is” or “is not warranted.”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If the Service concludes that the petitioned action “is not warranted,” it must promptly “publish such finding in the </w:t>
      </w:r>
      <w:r>
        <w:rPr>
          <w:rFonts w:ascii="Times New Roman" w:hAnsi="Times New Roman" w:cs="Times New Roman"/>
          <w:i/>
          <w:iCs/>
          <w:color w:val="000000"/>
          <w:sz w:val="20"/>
          <w:szCs w:val="20"/>
        </w:rPr>
        <w:t>Federal Register.</w:t>
      </w:r>
      <w:r>
        <w:rPr>
          <w:rFonts w:ascii="Times New Roman" w:hAnsi="Times New Roman" w:cs="Times New Roman"/>
          <w:color w:val="000000"/>
          <w:sz w:val="20"/>
          <w:szCs w:val="20"/>
        </w:rPr>
        <w:t xml:space="preserve">” </w:t>
      </w:r>
      <w:hyperlink r:id="rId93" w:anchor="co_pp_d48600002cc56"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 1533(b)(3)(B)(i)</w:t>
        </w:r>
      </w:hyperlink>
      <w:r>
        <w:rPr>
          <w:rFonts w:ascii="Times New Roman" w:hAnsi="Times New Roman" w:cs="Times New Roman"/>
          <w:color w:val="000000"/>
          <w:sz w:val="20"/>
          <w:szCs w:val="20"/>
        </w:rPr>
        <w:t xml:space="preserve">. However, if the Service concludes that listing “is warranted,” it must then publish a proposed rule for public </w:t>
      </w:r>
      <w:r>
        <w:rPr>
          <w:rFonts w:ascii="Times New Roman" w:hAnsi="Times New Roman" w:cs="Times New Roman"/>
          <w:color w:val="000000"/>
          <w:sz w:val="20"/>
          <w:szCs w:val="20"/>
        </w:rPr>
        <w:lastRenderedPageBreak/>
        <w:t xml:space="preserve">comment, </w:t>
      </w:r>
      <w:hyperlink r:id="rId94" w:anchor="co_pp_3f16000044140"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 1533(b)(3)(B)(ii)</w:t>
        </w:r>
      </w:hyperlink>
      <w:r>
        <w:rPr>
          <w:rFonts w:ascii="Times New Roman" w:hAnsi="Times New Roman" w:cs="Times New Roman"/>
          <w:color w:val="000000"/>
          <w:sz w:val="20"/>
          <w:szCs w:val="20"/>
        </w:rPr>
        <w:t xml:space="preserve">, </w:t>
      </w:r>
      <w:hyperlink r:id="rId95" w:anchor="co_pp_277b00009cfc7" w:history="1">
        <w:r>
          <w:rPr>
            <w:rFonts w:ascii="Times New Roman" w:hAnsi="Times New Roman" w:cs="Times New Roman"/>
            <w:color w:val="0E568C"/>
            <w:sz w:val="20"/>
            <w:szCs w:val="20"/>
          </w:rPr>
          <w:t>(b)(5)</w:t>
        </w:r>
      </w:hyperlink>
      <w:r>
        <w:rPr>
          <w:rFonts w:ascii="Times New Roman" w:hAnsi="Times New Roman" w:cs="Times New Roman"/>
          <w:color w:val="000000"/>
          <w:sz w:val="20"/>
          <w:szCs w:val="20"/>
        </w:rPr>
        <w:t xml:space="preserve">, and, if requested, hold at least one “public hearing on the proposed regulation,” </w:t>
      </w:r>
      <w:hyperlink r:id="rId96" w:anchor="co_pp_dcba0000ae562"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 1533(b)(5)(E)</w:t>
        </w:r>
      </w:hyperlink>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see also</w:t>
      </w:r>
      <w:r>
        <w:rPr>
          <w:rFonts w:ascii="Times New Roman" w:hAnsi="Times New Roman" w:cs="Times New Roman"/>
          <w:color w:val="000000"/>
          <w:sz w:val="20"/>
          <w:szCs w:val="20"/>
        </w:rPr>
        <w:t xml:space="preserve"> </w:t>
      </w:r>
      <w:hyperlink r:id="rId97" w:anchor="co_pp_6ad60000aeea7"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 1533(b)(4)</w:t>
        </w:r>
      </w:hyperlink>
      <w:r>
        <w:rPr>
          <w:rFonts w:ascii="Times New Roman" w:hAnsi="Times New Roman" w:cs="Times New Roman"/>
          <w:color w:val="000000"/>
          <w:sz w:val="20"/>
          <w:szCs w:val="20"/>
        </w:rPr>
        <w:t xml:space="preserve"> (otherwise incorporating APA rulemaking standards). Finally, the ESA recognizes that even after a year of study and notice-and-comment rulemaking over the course of another year, a “substantial disagreement” may still remain “regarding the sufficiency or accuracy of the available date relevant to the determination” and, accordingly, the statute permits the Service to extend the 12-month period by an additional “six months for purposes of soliciting additional data.” </w:t>
      </w:r>
      <w:hyperlink r:id="rId98" w:anchor="co_pp_2311000007a65" w:history="1">
        <w:r>
          <w:rPr>
            <w:rFonts w:ascii="Times New Roman" w:hAnsi="Times New Roman" w:cs="Times New Roman"/>
            <w:i/>
            <w:iCs/>
            <w:color w:val="0E568C"/>
            <w:sz w:val="20"/>
            <w:szCs w:val="20"/>
          </w:rPr>
          <w:t>Id.</w:t>
        </w:r>
        <w:r>
          <w:rPr>
            <w:rFonts w:ascii="Times New Roman" w:hAnsi="Times New Roman" w:cs="Times New Roman"/>
            <w:color w:val="0E568C"/>
            <w:sz w:val="20"/>
            <w:szCs w:val="20"/>
          </w:rPr>
          <w:t xml:space="preserve"> § 1533(b)(6)(B)(i)</w:t>
        </w:r>
      </w:hyperlink>
      <w:r>
        <w:rPr>
          <w:rFonts w:ascii="Times New Roman" w:hAnsi="Times New Roman" w:cs="Times New Roman"/>
          <w:color w:val="000000"/>
          <w:sz w:val="20"/>
          <w:szCs w:val="20"/>
        </w:rPr>
        <w:t>. It is implausible that Congress provided for this type of in-depth scientific analysis before making a final listing determination, but simultaneously authorized the Service to resolve reasonable scientific disagreements regarding complex questions of central importance to the listing decision during the truncated 90-day petition process, without the benefit of public comment or the opportunity for considered analysis.</w:t>
      </w:r>
    </w:p>
    <w:p w14:paraId="127AA2F8"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5CACA15" w14:textId="77777777" w:rsidR="001855D2" w:rsidRDefault="005A740A">
      <w:pPr>
        <w:widowControl w:val="0"/>
        <w:autoSpaceDE w:val="0"/>
        <w:autoSpaceDN w:val="0"/>
        <w:adjustRightInd w:val="0"/>
        <w:jc w:val="both"/>
        <w:rPr>
          <w:rFonts w:ascii="Times New Roman" w:hAnsi="Times New Roman" w:cs="Times New Roman"/>
          <w:i/>
          <w:iCs/>
          <w:color w:val="000000"/>
          <w:sz w:val="20"/>
          <w:szCs w:val="20"/>
        </w:rPr>
      </w:pPr>
      <w:bookmarkStart w:id="23" w:name="co_pp_sp_999_9_1"/>
      <w:bookmarkEnd w:id="23"/>
      <w:r>
        <w:rPr>
          <w:rFonts w:ascii="Times New Roman" w:hAnsi="Times New Roman" w:cs="Times New Roman"/>
          <w:b/>
          <w:bCs/>
          <w:color w:val="000000"/>
          <w:sz w:val="20"/>
          <w:szCs w:val="20"/>
        </w:rPr>
        <w:t>*9</w:t>
      </w:r>
      <w:r>
        <w:rPr>
          <w:rFonts w:ascii="Times New Roman" w:hAnsi="Times New Roman" w:cs="Times New Roman"/>
          <w:color w:val="000000"/>
          <w:sz w:val="20"/>
          <w:szCs w:val="20"/>
        </w:rPr>
        <w:t xml:space="preserve"> For present purposes, then, the Court must determine whether the Service impermissibly resolved a substantial scientific dispute when it rendered its negative 90-day finding on remand. Answering that question, in turn, requires describing the Halbert study in slightly greater detail. The study analyzed genetic samples of hair, blood, and liver tissue collected from 661 Yellowstone bison between 1997 and 2003 “to evaluate the possibility of genetic substructure among” the bison. Dkt. 25-3 at 126–27. According to the authors, the results (published in a peer-reviewed journal in 2015) revealed “clear evidence for genetically distinct subpopulations among Yellowstone bison,” specifically, a “[n]orthern subpopulation and [a] [c]entral subpopulation.”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132. The authors further observed that these results are “consistent with” other differences previously observed between the northern and central herds, including differences in “tooth wear patterns” and reproductive cycles, differences “expected only when bison [populations] remain isolated for much of their lives.” </w:t>
      </w:r>
      <w:r>
        <w:rPr>
          <w:rFonts w:ascii="Times New Roman" w:hAnsi="Times New Roman" w:cs="Times New Roman"/>
          <w:i/>
          <w:iCs/>
          <w:color w:val="000000"/>
          <w:sz w:val="20"/>
          <w:szCs w:val="20"/>
        </w:rPr>
        <w:t>Id.</w:t>
      </w:r>
    </w:p>
    <w:p w14:paraId="4FB72DC4"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163A380"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Despite the genetic divergence between the two herds—roughly comparable to “herds that have been completely isolated for over 40 years”—the Halbert study notes that “the subpopulations do not appear to be completely isolated,” and it estimates that the genetic differentiation observed is consistent with one successful breeding migrant “both into and out of each subpopulation every fourth year.”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this rate, however, “the level of divergence is expected to continue to increase, and there is a potential for adaptive differentiation”—in other words, it is possible that the two herds may evolve separate adaptations to suit their distinct environments.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The </w:t>
      </w:r>
      <w:r>
        <w:rPr>
          <w:rFonts w:ascii="Times New Roman" w:hAnsi="Times New Roman" w:cs="Times New Roman"/>
          <w:color w:val="000000"/>
          <w:sz w:val="20"/>
          <w:szCs w:val="20"/>
        </w:rPr>
        <w:t>authors conclude that their findings</w:t>
      </w:r>
    </w:p>
    <w:p w14:paraId="26844389" w14:textId="77777777" w:rsidR="001855D2" w:rsidRDefault="005A740A">
      <w:pPr>
        <w:widowControl w:val="0"/>
        <w:autoSpaceDE w:val="0"/>
        <w:autoSpaceDN w:val="0"/>
        <w:adjustRightInd w:val="0"/>
        <w:spacing w:before="200"/>
        <w:ind w:left="200"/>
        <w:jc w:val="both"/>
        <w:rPr>
          <w:rFonts w:ascii="Times New Roman" w:hAnsi="Times New Roman" w:cs="Times New Roman"/>
          <w:color w:val="000000"/>
          <w:sz w:val="20"/>
          <w:szCs w:val="20"/>
        </w:rPr>
      </w:pPr>
      <w:r>
        <w:rPr>
          <w:rFonts w:ascii="Times New Roman" w:hAnsi="Times New Roman" w:cs="Times New Roman"/>
          <w:color w:val="000000"/>
          <w:sz w:val="20"/>
          <w:szCs w:val="20"/>
        </w:rPr>
        <w:t>warrant serious reconsideration of current management practices. The continued practice of culling bison without regard to possible subpopulation structure has the potentially negative long-term consequences of reducing genetic diversity and permanently changing the genetic constitution within subpopulations and across the Yellowstone metapopulation.”</w:t>
      </w:r>
    </w:p>
    <w:p w14:paraId="3B1FB709"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133.</w:t>
      </w:r>
    </w:p>
    <w:p w14:paraId="4ABDAD0F"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9A4FBA7"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Plaintiffs’ 2014 petition combines this finding of genetic differentiation between the two herds with research on minimum viable herd size. Citing scientific literature recommending that “[i]ndividual [bison] herds or clusters should have ... 2000–3000 [animals] ... to avoid inbreeding depression and maintain genetic variation,”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144, the 2014 petition asserts that “the size of the [n]orthern range herd is marginal and that of the [c]entral range herd is clearly below the necessary population size,” Dkt. 25 at 28–29. According to the petition, “Yellowstone bison warrant immediate protection under the [ESA] to avoid further loss of genetic diversity, loss of evolutionary potential, and [to] conserve potential genetic contributions to plains bison restoration.”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52.</w:t>
      </w:r>
    </w:p>
    <w:p w14:paraId="79572263"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ECF1F50"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Notably, in rendering its negative finding on remand, the Service disavowed the view—attributed to it in </w:t>
      </w:r>
      <w:r>
        <w:rPr>
          <w:rFonts w:ascii="Times New Roman" w:hAnsi="Times New Roman" w:cs="Times New Roman"/>
          <w:i/>
          <w:iCs/>
          <w:color w:val="000000"/>
          <w:sz w:val="20"/>
          <w:szCs w:val="20"/>
        </w:rPr>
        <w:t>Buffalo Field Campaign I</w:t>
      </w:r>
      <w:r>
        <w:rPr>
          <w:rFonts w:ascii="Times New Roman" w:hAnsi="Times New Roman" w:cs="Times New Roman"/>
          <w:color w:val="000000"/>
          <w:sz w:val="20"/>
          <w:szCs w:val="20"/>
        </w:rPr>
        <w:t xml:space="preserve">—“that maintenance of subpopulation genetic differentiation and overall genetic diversity may not be crucial for preserving genes[,] negating the need to maintain two subpopulations.” Dkt. 25-2 at 424. To the contrary, the Service asserted that it “fully supports maintenance of genetic diversity within [Yellowstone] bison.”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Thus, the problem with the 2014 petition, according to the Service, was not that genetic differentiation is unimportant for purposes of the ESA. Instead, the problem was that the petition failed adequately to account for mixing between the central and northern herds.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As the Service explained, although genetic diversity is important, “as the total number of [Yellowstone] bison have increased, the two herds have experienced increased mixing,” and “this mixing suggests that the substructure of two distinct lineages in two distinct herds may not be sustained over time.”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The Service continued:</w:t>
      </w:r>
    </w:p>
    <w:p w14:paraId="0AF0F08B" w14:textId="77777777" w:rsidR="001855D2" w:rsidRDefault="005A740A">
      <w:pPr>
        <w:widowControl w:val="0"/>
        <w:autoSpaceDE w:val="0"/>
        <w:autoSpaceDN w:val="0"/>
        <w:adjustRightInd w:val="0"/>
        <w:spacing w:before="200"/>
        <w:ind w:left="2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similar situation occurred when [Yellowstone] bison numbers increased above 3,000 in the mid-1990s—the three herds historically described in [Yellowstone National Park] (Mary Mountain, Pelican Valley, and Lamar Valley) merged to form the central herd (Mary Mountain and Pelican Valley) and the northern herd (Lamar Valley) (Halbert et al. 2012, p. 2). Recent spatial analysis of mitochondrial DNA did not detect </w:t>
      </w:r>
      <w:r>
        <w:rPr>
          <w:rFonts w:ascii="Times New Roman" w:hAnsi="Times New Roman" w:cs="Times New Roman"/>
          <w:color w:val="000000"/>
          <w:sz w:val="20"/>
          <w:szCs w:val="20"/>
        </w:rPr>
        <w:lastRenderedPageBreak/>
        <w:t>geographic population subdivision; however, two independent lineages were identified—one representing descendants of the 22 indigenous bison remaining in central Yellowstone in 1902, the other representing descendants of 18 females from northern Montana and three bulls from Texas introduced in 1902 to develop the northern herd (Forgacs et al., 2016, p. 1).</w:t>
      </w:r>
    </w:p>
    <w:p w14:paraId="5848CBFA"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bookmarkStart w:id="24" w:name="co_pp_sp_999_10_1"/>
      <w:bookmarkEnd w:id="24"/>
      <w:r>
        <w:rPr>
          <w:rFonts w:ascii="Times New Roman" w:hAnsi="Times New Roman" w:cs="Times New Roman"/>
          <w:b/>
          <w:bCs/>
          <w:color w:val="000000"/>
          <w:sz w:val="20"/>
          <w:szCs w:val="20"/>
        </w:rPr>
        <w:t>*10</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424-25. On this basis, the Service concluded “that the lineage representing the original bison in [Yellowstone National Park] continues to be represented[ ] but is no longer confined to the central herd” and that, as a result, the Yellowstone bison should be treated as “a single DPS, without further subdivision.”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425.</w:t>
      </w:r>
    </w:p>
    <w:p w14:paraId="7BC61A98"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9F7452E"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crux of the Service’s response to the Halbert study, accordingly, comes down to two points. First, as the number of bison in the Yellowstone area has increased, so has mixing between the central and northern herds. Second, a 2016 study by Forgacs </w:t>
      </w:r>
      <w:r>
        <w:rPr>
          <w:rFonts w:ascii="Times New Roman" w:hAnsi="Times New Roman" w:cs="Times New Roman"/>
          <w:i/>
          <w:iCs/>
          <w:color w:val="000000"/>
          <w:sz w:val="20"/>
          <w:szCs w:val="20"/>
        </w:rPr>
        <w:t>et al.</w:t>
      </w:r>
      <w:r>
        <w:rPr>
          <w:rFonts w:ascii="Times New Roman" w:hAnsi="Times New Roman" w:cs="Times New Roman"/>
          <w:color w:val="000000"/>
          <w:sz w:val="20"/>
          <w:szCs w:val="20"/>
        </w:rPr>
        <w:t xml:space="preserve"> (“Forgacs study”) reports that “[r]ecent spatial analysis of mitochondrial DNA did not detect geographic population subdivision.” Dkt. 25-2 at 424. That response is inadequate for several reasons.</w:t>
      </w:r>
    </w:p>
    <w:p w14:paraId="1E26019B"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3184F95"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First, once again, the Service merely favored one study over another, which, as Judge Cooper held in </w:t>
      </w:r>
      <w:r>
        <w:rPr>
          <w:rFonts w:ascii="Times New Roman" w:hAnsi="Times New Roman" w:cs="Times New Roman"/>
          <w:i/>
          <w:iCs/>
          <w:color w:val="000000"/>
          <w:sz w:val="20"/>
          <w:szCs w:val="20"/>
        </w:rPr>
        <w:t>Buffalo Field Campaign I</w:t>
      </w:r>
      <w:r>
        <w:rPr>
          <w:rFonts w:ascii="Times New Roman" w:hAnsi="Times New Roman" w:cs="Times New Roman"/>
          <w:color w:val="000000"/>
          <w:sz w:val="20"/>
          <w:szCs w:val="20"/>
        </w:rPr>
        <w:t xml:space="preserve">, is at odds with the governing evidentiary standard. As Judge Cooper put it, “if two pieces of scientific evidence conflict, the Service must credit the supporting evidence unless that evidence is unreliable, irrelevant, or otherwise unreasonable to credit.” </w:t>
      </w:r>
      <w:hyperlink r:id="rId99" w:anchor="co_pp_sp_7903_110" w:history="1">
        <w:r>
          <w:rPr>
            <w:rFonts w:ascii="Times New Roman" w:hAnsi="Times New Roman" w:cs="Times New Roman"/>
            <w:color w:val="0E568C"/>
            <w:sz w:val="20"/>
            <w:szCs w:val="20"/>
          </w:rPr>
          <w:t>289 F. Supp. 3d at 110</w:t>
        </w:r>
      </w:hyperlink>
      <w:r>
        <w:rPr>
          <w:rFonts w:ascii="Times New Roman" w:hAnsi="Times New Roman" w:cs="Times New Roman"/>
          <w:color w:val="000000"/>
          <w:sz w:val="20"/>
          <w:szCs w:val="20"/>
        </w:rPr>
        <w:t xml:space="preserve">. Here, the Service at least implicitly acknowledged the Halbert study’s finding of “clear evidence for genetically distinct subpopulations among Yellowstone bison,” Dkt. 25-3 at 132. </w:t>
      </w:r>
      <w:r>
        <w:rPr>
          <w:rFonts w:ascii="Times New Roman" w:hAnsi="Times New Roman" w:cs="Times New Roman"/>
          <w:i/>
          <w:iCs/>
          <w:color w:val="000000"/>
          <w:sz w:val="20"/>
          <w:szCs w:val="20"/>
        </w:rPr>
        <w:t>See</w:t>
      </w:r>
      <w:r>
        <w:rPr>
          <w:rFonts w:ascii="Times New Roman" w:hAnsi="Times New Roman" w:cs="Times New Roman"/>
          <w:color w:val="000000"/>
          <w:sz w:val="20"/>
          <w:szCs w:val="20"/>
        </w:rPr>
        <w:t xml:space="preserve"> Dkt. 25-2 at 424. But it then credited the Forgacs study’s failure to “detect geographic population subdivision.”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It did so, moreover, without explaining why the Halbert study’s finding was “unreliable, irrelevant, or otherwise unreasonable to credit.” Standing alone, that flaw in the Service’s 2019 finding requires vacatur.</w:t>
      </w:r>
    </w:p>
    <w:p w14:paraId="46B1CA6A"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DAF22B2"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Second, even putting that dispositive error aside, the Service ignored “an important aspect of the problem” at issue and failed to “articulate ... a ‘rational connection between the facts found and the choice made.’ ” </w:t>
      </w:r>
      <w:hyperlink r:id="rId100" w:anchor="co_pp_sp_780_43" w:history="1">
        <w:r>
          <w:rPr>
            <w:rFonts w:ascii="Times New Roman" w:hAnsi="Times New Roman" w:cs="Times New Roman"/>
            <w:i/>
            <w:iCs/>
            <w:color w:val="0E568C"/>
            <w:sz w:val="20"/>
            <w:szCs w:val="20"/>
          </w:rPr>
          <w:t>Motor Vehicle Mfgs. Ass’n of U.S., Inc. v. State Farm Mut. Auto. Ins. Co.</w:t>
        </w:r>
        <w:r>
          <w:rPr>
            <w:rFonts w:ascii="Times New Roman" w:hAnsi="Times New Roman" w:cs="Times New Roman"/>
            <w:color w:val="0E568C"/>
            <w:sz w:val="20"/>
            <w:szCs w:val="20"/>
          </w:rPr>
          <w:t>, 463 U.S. 29, 43 (1983)</w:t>
        </w:r>
      </w:hyperlink>
      <w:r>
        <w:rPr>
          <w:rFonts w:ascii="Times New Roman" w:hAnsi="Times New Roman" w:cs="Times New Roman"/>
          <w:color w:val="000000"/>
          <w:sz w:val="20"/>
          <w:szCs w:val="20"/>
        </w:rPr>
        <w:t xml:space="preserve"> (quoting </w:t>
      </w:r>
      <w:hyperlink r:id="rId101" w:anchor="co_pp_sp_780_168" w:history="1">
        <w:r>
          <w:rPr>
            <w:rFonts w:ascii="Times New Roman" w:hAnsi="Times New Roman" w:cs="Times New Roman"/>
            <w:i/>
            <w:iCs/>
            <w:color w:val="0E568C"/>
            <w:sz w:val="20"/>
            <w:szCs w:val="20"/>
          </w:rPr>
          <w:t>Burlington Truck Lines, Inc. v. United States</w:t>
        </w:r>
        <w:r>
          <w:rPr>
            <w:rFonts w:ascii="Times New Roman" w:hAnsi="Times New Roman" w:cs="Times New Roman"/>
            <w:color w:val="0E568C"/>
            <w:sz w:val="20"/>
            <w:szCs w:val="20"/>
          </w:rPr>
          <w:t>, 371 U.S. 156, 168 (1962)</w:t>
        </w:r>
      </w:hyperlink>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see also</w:t>
      </w:r>
      <w:r>
        <w:rPr>
          <w:rFonts w:ascii="Times New Roman" w:hAnsi="Times New Roman" w:cs="Times New Roman"/>
          <w:color w:val="000000"/>
          <w:sz w:val="20"/>
          <w:szCs w:val="20"/>
        </w:rPr>
        <w:t xml:space="preserve"> </w:t>
      </w:r>
      <w:hyperlink r:id="rId102" w:anchor="co_pp_sp_708_1913" w:history="1">
        <w:r>
          <w:rPr>
            <w:rFonts w:ascii="Times New Roman" w:hAnsi="Times New Roman" w:cs="Times New Roman"/>
            <w:i/>
            <w:iCs/>
            <w:color w:val="0E568C"/>
            <w:sz w:val="20"/>
            <w:szCs w:val="20"/>
          </w:rPr>
          <w:t>Department of Homeland Security v. Regents of the Univ. of Calif.</w:t>
        </w:r>
        <w:r>
          <w:rPr>
            <w:rFonts w:ascii="Times New Roman" w:hAnsi="Times New Roman" w:cs="Times New Roman"/>
            <w:color w:val="0E568C"/>
            <w:sz w:val="20"/>
            <w:szCs w:val="20"/>
          </w:rPr>
          <w:t>, 140 S. Ct. 1891, 1913 (2020)</w:t>
        </w:r>
      </w:hyperlink>
      <w:r>
        <w:rPr>
          <w:rFonts w:ascii="Times New Roman" w:hAnsi="Times New Roman" w:cs="Times New Roman"/>
          <w:color w:val="000000"/>
          <w:sz w:val="20"/>
          <w:szCs w:val="20"/>
        </w:rPr>
        <w:t xml:space="preserve">. In invalidating the Service’s initial 90-day finding, Judge Cooper focused on the Halbert study and the Service’s failure to offer any “explanation for why [its] conclusions were irrelevant, unreliable, or unsubstantiated” and failure </w:t>
      </w:r>
      <w:r>
        <w:rPr>
          <w:rFonts w:ascii="Times New Roman" w:hAnsi="Times New Roman" w:cs="Times New Roman"/>
          <w:color w:val="000000"/>
          <w:sz w:val="20"/>
          <w:szCs w:val="20"/>
        </w:rPr>
        <w:t xml:space="preserve">even to discuss “why a reasonable person could not rely on the ... study over the White and Wallen study.” </w:t>
      </w:r>
      <w:hyperlink r:id="rId103" w:anchor="co_pp_sp_7903_110" w:history="1">
        <w:r>
          <w:rPr>
            <w:rFonts w:ascii="Times New Roman" w:hAnsi="Times New Roman" w:cs="Times New Roman"/>
            <w:color w:val="0E568C"/>
            <w:sz w:val="20"/>
            <w:szCs w:val="20"/>
          </w:rPr>
          <w:t>289 F. Supp. 3d at 110</w:t>
        </w:r>
      </w:hyperlink>
      <w:r>
        <w:rPr>
          <w:rFonts w:ascii="Times New Roman" w:hAnsi="Times New Roman" w:cs="Times New Roman"/>
          <w:color w:val="000000"/>
          <w:sz w:val="20"/>
          <w:szCs w:val="20"/>
        </w:rPr>
        <w:t>. For purposes of remand, the credibility and substantiality of the Halbert study, according, were not only “an important aspect of the problem”—those issues were both unambiguously highlighted and essential. To be sure, the Service now disavows any reliance on the White and Wallen study over the Halbert study. But it commits precisely the same error in now relying on the Forgacs study over the Halbert study without addressing (1) why, in its view, the Halbert study got it wrong, or (2) why “a reasonable person conducting an impartial scientific review would” conclude that the Halbert study is not “credible” or would reject the scientific possibility that the Halbert study is correct.</w:t>
      </w:r>
    </w:p>
    <w:p w14:paraId="32D2C681"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B161369"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Third, the Court is unpersuaded by the Service’s argument that it did, in fact, address the Halbert study and that it reasonably disregarded the study on the ground that it is “outdated[ ] and thus irrelevant on the issue of distinct populations.” Dkt. 24 at 12–14; </w:t>
      </w:r>
      <w:r>
        <w:rPr>
          <w:rFonts w:ascii="Times New Roman" w:hAnsi="Times New Roman" w:cs="Times New Roman"/>
          <w:i/>
          <w:iCs/>
          <w:color w:val="000000"/>
          <w:sz w:val="20"/>
          <w:szCs w:val="20"/>
        </w:rPr>
        <w:t>see also</w:t>
      </w:r>
      <w:r>
        <w:rPr>
          <w:rFonts w:ascii="Times New Roman" w:hAnsi="Times New Roman" w:cs="Times New Roman"/>
          <w:color w:val="000000"/>
          <w:sz w:val="20"/>
          <w:szCs w:val="20"/>
        </w:rPr>
        <w:t xml:space="preserve"> Dkt. 20-1 at 21. That contention runs headlong into a cardinal rule of administrative law: “an agency’s action must be upheld, if at all, on the basis articulated by the agency itself.” </w:t>
      </w:r>
      <w:hyperlink r:id="rId104" w:anchor="co_pp_sp_780_50" w:history="1">
        <w:r>
          <w:rPr>
            <w:rFonts w:ascii="Times New Roman" w:hAnsi="Times New Roman" w:cs="Times New Roman"/>
            <w:i/>
            <w:iCs/>
            <w:color w:val="0E568C"/>
            <w:sz w:val="20"/>
            <w:szCs w:val="20"/>
          </w:rPr>
          <w:t>State Farm</w:t>
        </w:r>
        <w:r>
          <w:rPr>
            <w:rFonts w:ascii="Times New Roman" w:hAnsi="Times New Roman" w:cs="Times New Roman"/>
            <w:color w:val="0E568C"/>
            <w:sz w:val="20"/>
            <w:szCs w:val="20"/>
          </w:rPr>
          <w:t>, 463 U.S. at 50</w:t>
        </w:r>
      </w:hyperlink>
      <w:r>
        <w:rPr>
          <w:rFonts w:ascii="Times New Roman" w:hAnsi="Times New Roman" w:cs="Times New Roman"/>
          <w:color w:val="000000"/>
          <w:sz w:val="20"/>
          <w:szCs w:val="20"/>
        </w:rPr>
        <w:t xml:space="preserve"> (citing </w:t>
      </w:r>
      <w:hyperlink r:id="rId105" w:anchor="co_pp_sp_780_196" w:history="1">
        <w:r>
          <w:rPr>
            <w:rFonts w:ascii="Times New Roman" w:hAnsi="Times New Roman" w:cs="Times New Roman"/>
            <w:i/>
            <w:iCs/>
            <w:color w:val="0E568C"/>
            <w:sz w:val="20"/>
            <w:szCs w:val="20"/>
          </w:rPr>
          <w:t>SEC v. Chenery</w:t>
        </w:r>
        <w:r>
          <w:rPr>
            <w:rFonts w:ascii="Times New Roman" w:hAnsi="Times New Roman" w:cs="Times New Roman"/>
            <w:color w:val="0E568C"/>
            <w:sz w:val="20"/>
            <w:szCs w:val="20"/>
          </w:rPr>
          <w:t>, 332 U.S. 194, 196 (1947)</w:t>
        </w:r>
      </w:hyperlink>
      <w:r>
        <w:rPr>
          <w:rFonts w:ascii="Times New Roman" w:hAnsi="Times New Roman" w:cs="Times New Roman"/>
          <w:color w:val="000000"/>
          <w:sz w:val="20"/>
          <w:szCs w:val="20"/>
        </w:rPr>
        <w:t xml:space="preserve">). Courts do not demand “crystalline clarity” in reviewing an agency decision, but they must be able “reasonably [to] discern[ ]” the “agency’s path,” </w:t>
      </w:r>
      <w:hyperlink r:id="rId106" w:anchor="co_pp_sp_780_497" w:history="1">
        <w:r>
          <w:rPr>
            <w:rFonts w:ascii="Times New Roman" w:hAnsi="Times New Roman" w:cs="Times New Roman"/>
            <w:i/>
            <w:iCs/>
            <w:color w:val="0E568C"/>
            <w:sz w:val="20"/>
            <w:szCs w:val="20"/>
          </w:rPr>
          <w:t>Alaska Dep’t of Env’t Conservation v. EPA</w:t>
        </w:r>
        <w:r>
          <w:rPr>
            <w:rFonts w:ascii="Times New Roman" w:hAnsi="Times New Roman" w:cs="Times New Roman"/>
            <w:color w:val="0E568C"/>
            <w:sz w:val="20"/>
            <w:szCs w:val="20"/>
          </w:rPr>
          <w:t>, 540 U.S. 461, 497 (2004)</w:t>
        </w:r>
      </w:hyperlink>
      <w:r>
        <w:rPr>
          <w:rFonts w:ascii="Times New Roman" w:hAnsi="Times New Roman" w:cs="Times New Roman"/>
          <w:color w:val="000000"/>
          <w:sz w:val="20"/>
          <w:szCs w:val="20"/>
        </w:rPr>
        <w:t xml:space="preserve"> (quoting </w:t>
      </w:r>
      <w:hyperlink r:id="rId107" w:anchor="co_pp_sp_780_286" w:history="1">
        <w:r>
          <w:rPr>
            <w:rFonts w:ascii="Times New Roman" w:hAnsi="Times New Roman" w:cs="Times New Roman"/>
            <w:i/>
            <w:iCs/>
            <w:color w:val="0E568C"/>
            <w:sz w:val="20"/>
            <w:szCs w:val="20"/>
          </w:rPr>
          <w:t>Bowman Transp., Inc. v. Ark.–Best Freight Sys., Inc.</w:t>
        </w:r>
        <w:r>
          <w:rPr>
            <w:rFonts w:ascii="Times New Roman" w:hAnsi="Times New Roman" w:cs="Times New Roman"/>
            <w:color w:val="0E568C"/>
            <w:sz w:val="20"/>
            <w:szCs w:val="20"/>
          </w:rPr>
          <w:t>, 419 U.S. 281, 286 (1974)</w:t>
        </w:r>
      </w:hyperlink>
      <w:r>
        <w:rPr>
          <w:rFonts w:ascii="Times New Roman" w:hAnsi="Times New Roman" w:cs="Times New Roman"/>
          <w:color w:val="000000"/>
          <w:sz w:val="20"/>
          <w:szCs w:val="20"/>
        </w:rPr>
        <w:t>), and, here, the Court cannot squint hard enough to see the critical finding that litigation counsel hypothesizes. In the end, this entire argument rests on the premise that the 2019 negative finding describes the Forgacs study as a “</w:t>
      </w:r>
      <w:r>
        <w:rPr>
          <w:rFonts w:ascii="Times New Roman" w:hAnsi="Times New Roman" w:cs="Times New Roman"/>
          <w:i/>
          <w:iCs/>
          <w:color w:val="000000"/>
          <w:sz w:val="20"/>
          <w:szCs w:val="20"/>
        </w:rPr>
        <w:t>[r]ecent</w:t>
      </w:r>
      <w:r>
        <w:rPr>
          <w:rFonts w:ascii="Times New Roman" w:hAnsi="Times New Roman" w:cs="Times New Roman"/>
          <w:color w:val="000000"/>
          <w:sz w:val="20"/>
          <w:szCs w:val="20"/>
        </w:rPr>
        <w:t xml:space="preserve"> spatial analysis.” Dkt. 25-2 at 424 (emphasis added). But the finding does not describe the Halbert study (which was published only four years before the Forgacs study) as outdated, nor does it say anything about when the relevant data was collected for the respective studies.</w:t>
      </w:r>
    </w:p>
    <w:p w14:paraId="78F38719"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192AFC3"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bookmarkStart w:id="25" w:name="co_pp_sp_999_11_1"/>
      <w:bookmarkEnd w:id="25"/>
      <w:r>
        <w:rPr>
          <w:rFonts w:ascii="Times New Roman" w:hAnsi="Times New Roman" w:cs="Times New Roman"/>
          <w:b/>
          <w:bCs/>
          <w:color w:val="000000"/>
          <w:sz w:val="20"/>
          <w:szCs w:val="20"/>
        </w:rPr>
        <w:t>*11</w:t>
      </w:r>
      <w:r>
        <w:rPr>
          <w:rFonts w:ascii="Times New Roman" w:hAnsi="Times New Roman" w:cs="Times New Roman"/>
          <w:color w:val="000000"/>
          <w:sz w:val="20"/>
          <w:szCs w:val="20"/>
        </w:rPr>
        <w:t xml:space="preserve"> Fourth, nothing else contained in the 2019 finding supports the Service’s contention that the 2019 finding—at least implicitly—rejected the Halbert study on the ground that it failed to account for recent mixing between the herds. To start, the Halbert study recognized that mixing has occurred; as noted above, the study observed that the two herds “do not appear to be completely isolated” and that “the level of genetic differentiation ... is consistent with ... a successful (breeding) migrant both into and out of each subpopulation every fourth year.” Dkt. 25-3 at 132. Evidence of some, unquantified level of mixing, accordingly, does not undermine the credibility or substantiality of the Halbert study. Even more importantly, </w:t>
      </w:r>
      <w:r>
        <w:rPr>
          <w:rFonts w:ascii="Times New Roman" w:hAnsi="Times New Roman" w:cs="Times New Roman"/>
          <w:color w:val="000000"/>
          <w:sz w:val="20"/>
          <w:szCs w:val="20"/>
        </w:rPr>
        <w:lastRenderedPageBreak/>
        <w:t>the 2019 finding does not address when the mixing occurred, and it never posits that an upsurge in mixing occurred after the data was collected for the Halbert study. To the contrary, just four pages before referring to “increased” mixing and the Forgacs study’s “</w:t>
      </w:r>
      <w:r>
        <w:rPr>
          <w:rFonts w:ascii="Times New Roman" w:hAnsi="Times New Roman" w:cs="Times New Roman"/>
          <w:i/>
          <w:iCs/>
          <w:color w:val="000000"/>
          <w:sz w:val="20"/>
          <w:szCs w:val="20"/>
        </w:rPr>
        <w:t>[r]ecent</w:t>
      </w:r>
      <w:r>
        <w:rPr>
          <w:rFonts w:ascii="Times New Roman" w:hAnsi="Times New Roman" w:cs="Times New Roman"/>
          <w:color w:val="000000"/>
          <w:sz w:val="20"/>
          <w:szCs w:val="20"/>
        </w:rPr>
        <w:t xml:space="preserve"> spatial analysis,” Dkt. 25-2 at 424 (emphasis added), the Service—citing Forgacs and others—asserts that the “increased mixing between the two herds” and the deterioration of “the substructure of two distinct lineages in two distinct herds” has occurred “in </w:t>
      </w:r>
      <w:r>
        <w:rPr>
          <w:rFonts w:ascii="Times New Roman" w:hAnsi="Times New Roman" w:cs="Times New Roman"/>
          <w:i/>
          <w:iCs/>
          <w:color w:val="000000"/>
          <w:sz w:val="20"/>
          <w:szCs w:val="20"/>
        </w:rPr>
        <w:t>recent decades.</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420 (emphasis added). Although the Service does not specify what it means by this, the very first study that it cites in support considered a dataset </w:t>
      </w:r>
      <w:r>
        <w:rPr>
          <w:rFonts w:ascii="Times New Roman" w:hAnsi="Times New Roman" w:cs="Times New Roman"/>
          <w:i/>
          <w:iCs/>
          <w:color w:val="000000"/>
          <w:sz w:val="20"/>
          <w:szCs w:val="20"/>
        </w:rPr>
        <w:t>ending</w:t>
      </w:r>
      <w:r>
        <w:rPr>
          <w:rFonts w:ascii="Times New Roman" w:hAnsi="Times New Roman" w:cs="Times New Roman"/>
          <w:color w:val="000000"/>
          <w:sz w:val="20"/>
          <w:szCs w:val="20"/>
        </w:rPr>
        <w:t xml:space="preserve"> in 2000, Dkt. 25-3 at 25 (“Fuller study”), at the halfway point for the dataset employed in the Halbert study, </w:t>
      </w:r>
      <w:r>
        <w:rPr>
          <w:rFonts w:ascii="Times New Roman" w:hAnsi="Times New Roman" w:cs="Times New Roman"/>
          <w:i/>
          <w:iCs/>
          <w:color w:val="000000"/>
          <w:sz w:val="20"/>
          <w:szCs w:val="20"/>
        </w:rPr>
        <w:t>see</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127. The Fuller study, moreover, reports that “pulses of emigration from the central herd to the northern range [began] in 1982, fifteen years </w:t>
      </w:r>
      <w:r>
        <w:rPr>
          <w:rFonts w:ascii="Times New Roman" w:hAnsi="Times New Roman" w:cs="Times New Roman"/>
          <w:i/>
          <w:iCs/>
          <w:color w:val="000000"/>
          <w:sz w:val="20"/>
          <w:szCs w:val="20"/>
        </w:rPr>
        <w:t>before</w:t>
      </w:r>
      <w:r>
        <w:rPr>
          <w:rFonts w:ascii="Times New Roman" w:hAnsi="Times New Roman" w:cs="Times New Roman"/>
          <w:color w:val="000000"/>
          <w:sz w:val="20"/>
          <w:szCs w:val="20"/>
        </w:rPr>
        <w:t xml:space="preserve"> the beginning date of the Halbert study dataset.</w:t>
      </w:r>
      <w:bookmarkStart w:id="26" w:name="co_fnRef_B00042055372206_ID0EJABI_1"/>
      <w:bookmarkEnd w:id="26"/>
      <w:r>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 xml:space="preserve">HYPERLINK "#co_footnote_B00042055372206_1" </w:instrText>
      </w:r>
      <w:r>
        <w:rPr>
          <w:rFonts w:ascii="Times New Roman" w:hAnsi="Times New Roman" w:cs="Times New Roman"/>
          <w:color w:val="000000"/>
          <w:sz w:val="16"/>
          <w:szCs w:val="16"/>
        </w:rPr>
        <w:fldChar w:fldCharType="separate"/>
      </w:r>
      <w:r>
        <w:rPr>
          <w:rFonts w:ascii="Times New Roman" w:hAnsi="Times New Roman" w:cs="Times New Roman"/>
          <w:color w:val="0E568C"/>
          <w:sz w:val="16"/>
          <w:szCs w:val="16"/>
          <w:vertAlign w:val="superscript"/>
        </w:rPr>
        <w:t>4</w:t>
      </w:r>
      <w:r>
        <w:rPr>
          <w:rFonts w:ascii="Times New Roman" w:hAnsi="Times New Roman" w:cs="Times New Roman"/>
          <w:color w:val="000000"/>
          <w:sz w:val="16"/>
          <w:szCs w:val="16"/>
        </w:rPr>
        <w:fldChar w:fldCharType="end"/>
      </w:r>
      <w:r>
        <w:rPr>
          <w:rFonts w:ascii="Times New Roman" w:hAnsi="Times New Roman" w:cs="Times New Roman"/>
          <w:color w:val="000000"/>
          <w:sz w:val="20"/>
          <w:szCs w:val="20"/>
        </w:rPr>
        <w:t xml:space="preserve"> Dkt. 25-3 at 31. And, indeed, elsewhere in the 2019 finding, the Service asserts that “the two herds have intermixed seasonally </w:t>
      </w:r>
      <w:r>
        <w:rPr>
          <w:rFonts w:ascii="Times New Roman" w:hAnsi="Times New Roman" w:cs="Times New Roman"/>
          <w:i/>
          <w:iCs/>
          <w:color w:val="000000"/>
          <w:sz w:val="20"/>
          <w:szCs w:val="20"/>
        </w:rPr>
        <w:t>since 1915</w:t>
      </w:r>
      <w:r>
        <w:rPr>
          <w:rFonts w:ascii="Times New Roman" w:hAnsi="Times New Roman" w:cs="Times New Roman"/>
          <w:color w:val="000000"/>
          <w:sz w:val="20"/>
          <w:szCs w:val="20"/>
        </w:rPr>
        <w:t>,” Dkt. 25-2 at 414 (emphasis added), casting further doubt on the supposition that the Halbert study has been overtaken by “recent” mixing. Accordingly, the Court cannot reasonably construe the reference to “</w:t>
      </w:r>
      <w:r>
        <w:rPr>
          <w:rFonts w:ascii="Times New Roman" w:hAnsi="Times New Roman" w:cs="Times New Roman"/>
          <w:i/>
          <w:iCs/>
          <w:color w:val="000000"/>
          <w:sz w:val="20"/>
          <w:szCs w:val="20"/>
        </w:rPr>
        <w:t>[r]ecent</w:t>
      </w:r>
      <w:r>
        <w:rPr>
          <w:rFonts w:ascii="Times New Roman" w:hAnsi="Times New Roman" w:cs="Times New Roman"/>
          <w:color w:val="000000"/>
          <w:sz w:val="20"/>
          <w:szCs w:val="20"/>
        </w:rPr>
        <w:t xml:space="preserve"> spatial analysis” in the 2019 finding, Dkt. 25-2 at 424 (emphasis added), to suggest that the Service rejected the Halbert study on the ground that it was “outdated,” Dkt. 24 at 12–14.</w:t>
      </w:r>
    </w:p>
    <w:p w14:paraId="636D920C"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D88B7C3" w14:textId="77777777" w:rsidR="001855D2" w:rsidRDefault="005A740A">
      <w:pPr>
        <w:widowControl w:val="0"/>
        <w:autoSpaceDE w:val="0"/>
        <w:autoSpaceDN w:val="0"/>
        <w:adjustRightInd w:val="0"/>
        <w:jc w:val="both"/>
        <w:rPr>
          <w:rFonts w:ascii="Times New Roman" w:hAnsi="Times New Roman" w:cs="Times New Roman"/>
          <w:color w:val="000000"/>
          <w:sz w:val="16"/>
          <w:szCs w:val="16"/>
        </w:rPr>
      </w:pPr>
      <w:r>
        <w:rPr>
          <w:rFonts w:ascii="Times New Roman" w:hAnsi="Times New Roman" w:cs="Times New Roman"/>
          <w:color w:val="000000"/>
          <w:sz w:val="20"/>
          <w:szCs w:val="20"/>
        </w:rPr>
        <w:t xml:space="preserve">Fifth, for similar reasons, the Service’s reliance on the combination of the Forgacs study and other studies documenting “recent” mixing of the central and norther herds does not overcome the difficulties with these contentions when considered separately. As the Service appears to acknowledge, reliance on the Forgacs study, standing alone, cannot satisfy the evidentiary standard at the 90-day stage. For this reason, the Service accuses Plaintiffs of “endeavor[ing] to isolate the Forgacs ... study,” while ignoring other studies regarding recent mixing and ignoring the fact that the Halbert study is outdated. Dkt. 20-1 at 24. But, as explained above, the 2019 finding does not conclude that Halbert is outdated (and certainly did not do so in a reasoned manner), and it does not conclude that the data reported in those other studies was collected after the data relied upon in the Halbert study was collected. Perhaps some of it was. But that is not what the 2019 finding says, and the finding must rise or fall based on the reasoning contained in it—and not the reasoning offered by litigation counsel. </w:t>
      </w:r>
      <w:r>
        <w:rPr>
          <w:rFonts w:ascii="Times New Roman" w:hAnsi="Times New Roman" w:cs="Times New Roman"/>
          <w:i/>
          <w:iCs/>
          <w:color w:val="000000"/>
          <w:sz w:val="20"/>
          <w:szCs w:val="20"/>
        </w:rPr>
        <w:t>See</w:t>
      </w:r>
      <w:r>
        <w:rPr>
          <w:rFonts w:ascii="Times New Roman" w:hAnsi="Times New Roman" w:cs="Times New Roman"/>
          <w:color w:val="000000"/>
          <w:sz w:val="20"/>
          <w:szCs w:val="20"/>
        </w:rPr>
        <w:t xml:space="preserve"> </w:t>
      </w:r>
      <w:hyperlink r:id="rId108" w:anchor="co_pp_sp_780_196" w:history="1">
        <w:r>
          <w:rPr>
            <w:rFonts w:ascii="Times New Roman" w:hAnsi="Times New Roman" w:cs="Times New Roman"/>
            <w:i/>
            <w:iCs/>
            <w:color w:val="0E568C"/>
            <w:sz w:val="20"/>
            <w:szCs w:val="20"/>
          </w:rPr>
          <w:t>Chenery</w:t>
        </w:r>
        <w:r>
          <w:rPr>
            <w:rFonts w:ascii="Times New Roman" w:hAnsi="Times New Roman" w:cs="Times New Roman"/>
            <w:color w:val="0E568C"/>
            <w:sz w:val="20"/>
            <w:szCs w:val="20"/>
          </w:rPr>
          <w:t>, 332 U.S. at 196</w:t>
        </w:r>
      </w:hyperlink>
      <w:r>
        <w:rPr>
          <w:rFonts w:ascii="Times New Roman" w:hAnsi="Times New Roman" w:cs="Times New Roman"/>
          <w:color w:val="000000"/>
          <w:sz w:val="20"/>
          <w:szCs w:val="20"/>
        </w:rPr>
        <w:t xml:space="preserve">. As a result, the Service faces just the problem it accuses Plaintiffs of endeavoring to engineer: the only analysis offered in the 2019 finding that is arguably responsive to the Halbert study is the agency’s reliance on the Forgacs study, and, in a battle between two substantial </w:t>
      </w:r>
      <w:r>
        <w:rPr>
          <w:rFonts w:ascii="Times New Roman" w:hAnsi="Times New Roman" w:cs="Times New Roman"/>
          <w:color w:val="000000"/>
          <w:sz w:val="20"/>
          <w:szCs w:val="20"/>
        </w:rPr>
        <w:t xml:space="preserve">scientific studies, “the Service must credit the supporting evidence unless that evidence is unreliable, irrelevant, or otherwise unreasonable to credit.” </w:t>
      </w:r>
      <w:hyperlink r:id="rId109" w:anchor="co_pp_sp_7903_110" w:history="1">
        <w:r>
          <w:rPr>
            <w:rFonts w:ascii="Times New Roman" w:hAnsi="Times New Roman" w:cs="Times New Roman"/>
            <w:i/>
            <w:iCs/>
            <w:color w:val="0E568C"/>
            <w:sz w:val="20"/>
            <w:szCs w:val="20"/>
          </w:rPr>
          <w:t>Buffalo Field Campaign I</w:t>
        </w:r>
        <w:r>
          <w:rPr>
            <w:rFonts w:ascii="Times New Roman" w:hAnsi="Times New Roman" w:cs="Times New Roman"/>
            <w:color w:val="0E568C"/>
            <w:sz w:val="20"/>
            <w:szCs w:val="20"/>
          </w:rPr>
          <w:t>, 289 F. Supp. 3d at 110</w:t>
        </w:r>
      </w:hyperlink>
      <w:r>
        <w:rPr>
          <w:rFonts w:ascii="Times New Roman" w:hAnsi="Times New Roman" w:cs="Times New Roman"/>
          <w:color w:val="000000"/>
          <w:sz w:val="20"/>
          <w:szCs w:val="20"/>
        </w:rPr>
        <w:t>. Here, far from satisfying this standard, the 2019 finding offers no analysis of why, in the Service’s view, the Forgacs study manifestly trumps the Halbert study.</w:t>
      </w:r>
      <w:bookmarkStart w:id="27" w:name="co_fnRef_B00052055372206_ID0EZIBI_1"/>
      <w:bookmarkEnd w:id="27"/>
      <w:r>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 xml:space="preserve">HYPERLINK "#co_footnote_B00052055372206_1" </w:instrText>
      </w:r>
      <w:r>
        <w:rPr>
          <w:rFonts w:ascii="Times New Roman" w:hAnsi="Times New Roman" w:cs="Times New Roman"/>
          <w:color w:val="000000"/>
          <w:sz w:val="16"/>
          <w:szCs w:val="16"/>
        </w:rPr>
        <w:fldChar w:fldCharType="separate"/>
      </w:r>
      <w:r>
        <w:rPr>
          <w:rFonts w:ascii="Times New Roman" w:hAnsi="Times New Roman" w:cs="Times New Roman"/>
          <w:color w:val="0E568C"/>
          <w:sz w:val="16"/>
          <w:szCs w:val="16"/>
          <w:vertAlign w:val="superscript"/>
        </w:rPr>
        <w:t>5</w:t>
      </w:r>
      <w:r>
        <w:rPr>
          <w:rFonts w:ascii="Times New Roman" w:hAnsi="Times New Roman" w:cs="Times New Roman"/>
          <w:color w:val="000000"/>
          <w:sz w:val="16"/>
          <w:szCs w:val="16"/>
        </w:rPr>
        <w:fldChar w:fldCharType="end"/>
      </w:r>
    </w:p>
    <w:p w14:paraId="00FEB924"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71152F3"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bookmarkStart w:id="28" w:name="co_pp_sp_999_12_1"/>
      <w:bookmarkEnd w:id="28"/>
      <w:r>
        <w:rPr>
          <w:rFonts w:ascii="Times New Roman" w:hAnsi="Times New Roman" w:cs="Times New Roman"/>
          <w:b/>
          <w:bCs/>
          <w:color w:val="000000"/>
          <w:sz w:val="20"/>
          <w:szCs w:val="20"/>
        </w:rPr>
        <w:t>*12</w:t>
      </w:r>
      <w:r>
        <w:rPr>
          <w:rFonts w:ascii="Times New Roman" w:hAnsi="Times New Roman" w:cs="Times New Roman"/>
          <w:color w:val="000000"/>
          <w:sz w:val="20"/>
          <w:szCs w:val="20"/>
        </w:rPr>
        <w:t xml:space="preserve"> Sixth, the 2019 finding does address the Halbert study directly in one respect, but that aspect of the study has no bearing on the Service’s conclusion with respect to genetic differentiation or Plaintiffs’ challenge. The finding asserts, in relevant part:</w:t>
      </w:r>
    </w:p>
    <w:p w14:paraId="7EA808F2" w14:textId="77777777" w:rsidR="001855D2" w:rsidRDefault="005A740A">
      <w:pPr>
        <w:widowControl w:val="0"/>
        <w:autoSpaceDE w:val="0"/>
        <w:autoSpaceDN w:val="0"/>
        <w:adjustRightInd w:val="0"/>
        <w:spacing w:before="200"/>
        <w:ind w:left="2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Court’s Memorandum Opinion notes that Halbert </w:t>
      </w:r>
      <w:r>
        <w:rPr>
          <w:rFonts w:ascii="Times New Roman" w:hAnsi="Times New Roman" w:cs="Times New Roman"/>
          <w:i/>
          <w:iCs/>
          <w:color w:val="000000"/>
          <w:sz w:val="20"/>
          <w:szCs w:val="20"/>
        </w:rPr>
        <w:t>et al.</w:t>
      </w:r>
      <w:r>
        <w:rPr>
          <w:rFonts w:ascii="Times New Roman" w:hAnsi="Times New Roman" w:cs="Times New Roman"/>
          <w:color w:val="000000"/>
          <w:sz w:val="20"/>
          <w:szCs w:val="20"/>
        </w:rPr>
        <w:t xml:space="preserve"> (2012) calls into question the 3,000 population target set by the IBMP for the entire herd by indicating that each of the two herds in [Yellowstone National Park] need a population large enough to ensure the herd’s individual survival, and also notes that since other studies have suggested approximately 3,000 bison are needed to ensure survival of a herd, a population target of 3,000 for both herds [combined] is too low to ensure that each herd will survive.... However, Halbert </w:t>
      </w:r>
      <w:r>
        <w:rPr>
          <w:rFonts w:ascii="Times New Roman" w:hAnsi="Times New Roman" w:cs="Times New Roman"/>
          <w:i/>
          <w:iCs/>
          <w:color w:val="000000"/>
          <w:sz w:val="20"/>
          <w:szCs w:val="20"/>
        </w:rPr>
        <w:t>et al.</w:t>
      </w:r>
      <w:r>
        <w:rPr>
          <w:rFonts w:ascii="Times New Roman" w:hAnsi="Times New Roman" w:cs="Times New Roman"/>
          <w:color w:val="000000"/>
          <w:sz w:val="20"/>
          <w:szCs w:val="20"/>
        </w:rPr>
        <w:t xml:space="preserve"> (2012) does not recommend specific herd sizes; instead, the study recommends that a population viability analysis be conducted....</w:t>
      </w:r>
    </w:p>
    <w:p w14:paraId="0F6C1AF6" w14:textId="77777777" w:rsidR="001855D2" w:rsidRDefault="005A740A">
      <w:pPr>
        <w:widowControl w:val="0"/>
        <w:autoSpaceDE w:val="0"/>
        <w:autoSpaceDN w:val="0"/>
        <w:adjustRightInd w:val="0"/>
        <w:spacing w:before="200"/>
        <w:ind w:left="2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wide range of [Minimum Viable Population (“MVP”)] estimates have been derived specifically for bison in [Yellowstone National Park] including: a minimum of 1,000 (Dratch and Gogan 2010, p. vii), 1,000–2,000 (Jones and Roffe 2008, p. 8), 2,000 (Freese </w:t>
      </w:r>
      <w:r>
        <w:rPr>
          <w:rFonts w:ascii="Times New Roman" w:hAnsi="Times New Roman" w:cs="Times New Roman"/>
          <w:i/>
          <w:iCs/>
          <w:color w:val="000000"/>
          <w:sz w:val="20"/>
          <w:szCs w:val="20"/>
        </w:rPr>
        <w:t>et al.</w:t>
      </w:r>
      <w:r>
        <w:rPr>
          <w:rFonts w:ascii="Times New Roman" w:hAnsi="Times New Roman" w:cs="Times New Roman"/>
          <w:color w:val="000000"/>
          <w:sz w:val="20"/>
          <w:szCs w:val="20"/>
        </w:rPr>
        <w:t xml:space="preserve"> 20078, p. 180), 2,000–3,000 (Hedrick 2009, p. 419), and 2,500–4,500 (Plumb </w:t>
      </w:r>
      <w:r>
        <w:rPr>
          <w:rFonts w:ascii="Times New Roman" w:hAnsi="Times New Roman" w:cs="Times New Roman"/>
          <w:i/>
          <w:iCs/>
          <w:color w:val="000000"/>
          <w:sz w:val="20"/>
          <w:szCs w:val="20"/>
        </w:rPr>
        <w:t>et al.</w:t>
      </w:r>
      <w:r>
        <w:rPr>
          <w:rFonts w:ascii="Times New Roman" w:hAnsi="Times New Roman" w:cs="Times New Roman"/>
          <w:color w:val="000000"/>
          <w:sz w:val="20"/>
          <w:szCs w:val="20"/>
        </w:rPr>
        <w:t xml:space="preserve"> 2009, p. 2385). These MVP estimates are all less than [Yellowstone National Park’s] carrying capacity for bison. A reasonable and scientifically defensible herd size for [Yellowstone National Park] should be less than carrying capacities for individual herds as well as less than the estimated carrying capacity park-wide. Furthermore, recent population estimates for [Yellowstone National Park] bison, which are more than 4X greater than historical estimates, do not support an assertion that listing may be warranted due to range curtailment. Therefore, we do not agree with the third petition’s recommendation that 7,000 bison for each herd, or 14,000 total bison is an appropriate population goal for [Yellowstone National Park].</w:t>
      </w:r>
    </w:p>
    <w:p w14:paraId="41530A56"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Dkt. 25-2 at 416-17.</w:t>
      </w:r>
    </w:p>
    <w:p w14:paraId="29C05D36"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3C49D88"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Plaintiffs, in turn, agree that the Halbert study does not recommend a specific herd size or MVP for each herd. But that is beside the point. Judge Cooper did not hold that the Halbert study recommends a specific herd size; rather, he </w:t>
      </w:r>
      <w:r>
        <w:rPr>
          <w:rFonts w:ascii="Times New Roman" w:hAnsi="Times New Roman" w:cs="Times New Roman"/>
          <w:color w:val="000000"/>
          <w:sz w:val="20"/>
          <w:szCs w:val="20"/>
        </w:rPr>
        <w:lastRenderedPageBreak/>
        <w:t xml:space="preserve">held that the Halbert study indicates that “there are two genetically distinct subpopulations of bison in Yellowstone” and that each herd needs “a population that is large enough to ensure that herd’s individual survival.” </w:t>
      </w:r>
      <w:hyperlink r:id="rId110" w:anchor="co_pp_sp_7903_110" w:history="1">
        <w:r>
          <w:rPr>
            <w:rFonts w:ascii="Times New Roman" w:hAnsi="Times New Roman" w:cs="Times New Roman"/>
            <w:color w:val="0E568C"/>
            <w:sz w:val="20"/>
            <w:szCs w:val="20"/>
          </w:rPr>
          <w:t>289 F. Supp. 3d at 110</w:t>
        </w:r>
      </w:hyperlink>
      <w:r>
        <w:rPr>
          <w:rFonts w:ascii="Times New Roman" w:hAnsi="Times New Roman" w:cs="Times New Roman"/>
          <w:color w:val="000000"/>
          <w:sz w:val="20"/>
          <w:szCs w:val="20"/>
        </w:rPr>
        <w:t xml:space="preserve">. And, because “other studies have suggested that around 3,000 bison are needed to ensure a herd’s survival, this suggests that the 3,000 bison population target for </w:t>
      </w:r>
      <w:r>
        <w:rPr>
          <w:rFonts w:ascii="Times New Roman" w:hAnsi="Times New Roman" w:cs="Times New Roman"/>
          <w:i/>
          <w:iCs/>
          <w:color w:val="000000"/>
          <w:sz w:val="20"/>
          <w:szCs w:val="20"/>
        </w:rPr>
        <w:t>both</w:t>
      </w:r>
      <w:r>
        <w:rPr>
          <w:rFonts w:ascii="Times New Roman" w:hAnsi="Times New Roman" w:cs="Times New Roman"/>
          <w:color w:val="000000"/>
          <w:sz w:val="20"/>
          <w:szCs w:val="20"/>
        </w:rPr>
        <w:t xml:space="preserve"> herds is too low to ensure that </w:t>
      </w:r>
      <w:r>
        <w:rPr>
          <w:rFonts w:ascii="Times New Roman" w:hAnsi="Times New Roman" w:cs="Times New Roman"/>
          <w:i/>
          <w:iCs/>
          <w:color w:val="000000"/>
          <w:sz w:val="20"/>
          <w:szCs w:val="20"/>
        </w:rPr>
        <w:t>each</w:t>
      </w:r>
      <w:r>
        <w:rPr>
          <w:rFonts w:ascii="Times New Roman" w:hAnsi="Times New Roman" w:cs="Times New Roman"/>
          <w:color w:val="000000"/>
          <w:sz w:val="20"/>
          <w:szCs w:val="20"/>
        </w:rPr>
        <w:t xml:space="preserve"> herd will survive.”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(citation omitted). In failing to respond to that concern, the 2019 finding, once again, disregards an “an important aspect of the problem,” </w:t>
      </w:r>
      <w:hyperlink r:id="rId111" w:anchor="co_pp_sp_780_43" w:history="1">
        <w:r>
          <w:rPr>
            <w:rFonts w:ascii="Times New Roman" w:hAnsi="Times New Roman" w:cs="Times New Roman"/>
            <w:i/>
            <w:iCs/>
            <w:color w:val="0E568C"/>
            <w:sz w:val="20"/>
            <w:szCs w:val="20"/>
          </w:rPr>
          <w:t>State Farm</w:t>
        </w:r>
        <w:r>
          <w:rPr>
            <w:rFonts w:ascii="Times New Roman" w:hAnsi="Times New Roman" w:cs="Times New Roman"/>
            <w:color w:val="0E568C"/>
            <w:sz w:val="20"/>
            <w:szCs w:val="20"/>
          </w:rPr>
          <w:t>, 463 U.S. at 43</w:t>
        </w:r>
      </w:hyperlink>
      <w:r>
        <w:rPr>
          <w:rFonts w:ascii="Times New Roman" w:hAnsi="Times New Roman" w:cs="Times New Roman"/>
          <w:color w:val="000000"/>
          <w:sz w:val="20"/>
          <w:szCs w:val="20"/>
        </w:rPr>
        <w:t xml:space="preserve">, and, instead, simply rejects the premise that the central and northern herds represent genetically distinct subpopulations. By the Service’s own account, moreover, the most recent population estimate for the northern herd (3,337), Dkt. 25-2 at 416, falls within the “wide range of MVP estimates [that] have been derived for bison in” Yellowstone National Park,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417. The same is not true, however, for the most recent estimate for the central herd (1,190),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416, which is below (or teetering near the bottom end) of each of the MVP estimates referenced in the 2019 finding and is well below the MVP estimate contained in the Hedrick study, which Western Watershed Project and Buffalo Field Campaign invoked in their 2014 petition, Dkt. 25 at 28, and which the Service cites (presumably as a credible scientific study), Dkt. 25-2 at 417.</w:t>
      </w:r>
    </w:p>
    <w:p w14:paraId="38DC5E19"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912A9F0" w14:textId="77777777" w:rsidR="001855D2" w:rsidRDefault="005A740A">
      <w:pPr>
        <w:widowControl w:val="0"/>
        <w:autoSpaceDE w:val="0"/>
        <w:autoSpaceDN w:val="0"/>
        <w:adjustRightInd w:val="0"/>
        <w:jc w:val="both"/>
        <w:rPr>
          <w:rFonts w:ascii="Times New Roman" w:hAnsi="Times New Roman" w:cs="Times New Roman"/>
          <w:i/>
          <w:iCs/>
          <w:color w:val="000000"/>
          <w:sz w:val="20"/>
          <w:szCs w:val="20"/>
        </w:rPr>
      </w:pPr>
      <w:bookmarkStart w:id="29" w:name="co_pp_sp_999_13_1"/>
      <w:bookmarkEnd w:id="29"/>
      <w:r>
        <w:rPr>
          <w:rFonts w:ascii="Times New Roman" w:hAnsi="Times New Roman" w:cs="Times New Roman"/>
          <w:b/>
          <w:bCs/>
          <w:color w:val="000000"/>
          <w:sz w:val="20"/>
          <w:szCs w:val="20"/>
        </w:rPr>
        <w:t>*13</w:t>
      </w:r>
      <w:r>
        <w:rPr>
          <w:rFonts w:ascii="Times New Roman" w:hAnsi="Times New Roman" w:cs="Times New Roman"/>
          <w:color w:val="000000"/>
          <w:sz w:val="20"/>
          <w:szCs w:val="20"/>
        </w:rPr>
        <w:t xml:space="preserve"> Finally, the Court is unpersuaded by the Service’s plea for deference based on its scientific expertise. Dkt. 20-1 at 18–20. As the Service observes, “the issue before the Court is not whether a reasonable person could accept [the petitioner’s] interpretation of the data, but whether the [agency] ha[s] a rational basis for concluding that a reasonable person would not do so.”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18 (first and second alterations in original) (quoting </w:t>
      </w:r>
      <w:hyperlink r:id="rId112" w:anchor="co_pp_sp_999_2" w:history="1">
        <w:r>
          <w:rPr>
            <w:rFonts w:ascii="Times New Roman" w:hAnsi="Times New Roman" w:cs="Times New Roman"/>
            <w:i/>
            <w:iCs/>
            <w:color w:val="0E568C"/>
            <w:sz w:val="20"/>
            <w:szCs w:val="20"/>
          </w:rPr>
          <w:t>Palouse Prairie Found. v. Salazar</w:t>
        </w:r>
        <w:r>
          <w:rPr>
            <w:rFonts w:ascii="Times New Roman" w:hAnsi="Times New Roman" w:cs="Times New Roman"/>
            <w:color w:val="0E568C"/>
            <w:sz w:val="20"/>
            <w:szCs w:val="20"/>
          </w:rPr>
          <w:t>, No. CV-08-032, 2009 WL 415596, at *2 (E.D. Wash. Feb. 12, 2009)</w:t>
        </w:r>
      </w:hyperlink>
      <w:r>
        <w:rPr>
          <w:rFonts w:ascii="Times New Roman" w:hAnsi="Times New Roman" w:cs="Times New Roman"/>
          <w:color w:val="000000"/>
          <w:sz w:val="20"/>
          <w:szCs w:val="20"/>
        </w:rPr>
        <w:t xml:space="preserve">). The Service is correct that it is not required “blindly [to] accept statements in [a] petition[ ]” and need not rely on “information [that it] knows to be obsolete or unsupported.”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19 (quoting </w:t>
      </w:r>
      <w:r>
        <w:rPr>
          <w:rFonts w:ascii="Times New Roman" w:hAnsi="Times New Roman" w:cs="Times New Roman"/>
          <w:i/>
          <w:iCs/>
          <w:color w:val="000000"/>
          <w:sz w:val="20"/>
          <w:szCs w:val="20"/>
        </w:rPr>
        <w:t>Ctr. for Bio.</w:t>
      </w:r>
      <w:r>
        <w:rPr>
          <w:rFonts w:ascii="Times New Roman" w:hAnsi="Times New Roman" w:cs="Times New Roman"/>
          <w:color w:val="000000"/>
          <w:sz w:val="20"/>
          <w:szCs w:val="20"/>
        </w:rPr>
        <w:t xml:space="preserve"> </w:t>
      </w:r>
      <w:hyperlink r:id="rId113" w:anchor="co_pp_sp_4637_1142" w:history="1">
        <w:r>
          <w:rPr>
            <w:rFonts w:ascii="Times New Roman" w:hAnsi="Times New Roman" w:cs="Times New Roman"/>
            <w:i/>
            <w:iCs/>
            <w:color w:val="0E568C"/>
            <w:sz w:val="20"/>
            <w:szCs w:val="20"/>
          </w:rPr>
          <w:t>Diversity v. Morgenweck</w:t>
        </w:r>
        <w:r>
          <w:rPr>
            <w:rFonts w:ascii="Times New Roman" w:hAnsi="Times New Roman" w:cs="Times New Roman"/>
            <w:color w:val="0E568C"/>
            <w:sz w:val="20"/>
            <w:szCs w:val="20"/>
          </w:rPr>
          <w:t>, 351 F. Supp. 2d 1137, 1142 (D. Colo. 2004)</w:t>
        </w:r>
      </w:hyperlink>
      <w:r>
        <w:rPr>
          <w:rFonts w:ascii="Times New Roman" w:hAnsi="Times New Roman" w:cs="Times New Roman"/>
          <w:color w:val="000000"/>
          <w:sz w:val="20"/>
          <w:szCs w:val="20"/>
        </w:rPr>
        <w:t xml:space="preserve">). But that it not what is at issue here. The 2014 petition relied on a peer reviewed study finding “clear evidence for genetically distinct subpopulations,” Dkt. 25-3 at 132, and after the Service disregarded that study in its 2015 finding, Judge Cooper remanded the matter to the agency with the admonition that the Service must either credit that study or explain why it is “unreliable, irrelevant, or otherwise unreasonable to credit,” </w:t>
      </w:r>
      <w:hyperlink r:id="rId114" w:anchor="co_pp_sp_7903_110" w:history="1">
        <w:r>
          <w:rPr>
            <w:rFonts w:ascii="Times New Roman" w:hAnsi="Times New Roman" w:cs="Times New Roman"/>
            <w:color w:val="0E568C"/>
            <w:sz w:val="20"/>
            <w:szCs w:val="20"/>
          </w:rPr>
          <w:t>289 F. Supp. 3d at 110</w:t>
        </w:r>
      </w:hyperlink>
      <w:r>
        <w:rPr>
          <w:rFonts w:ascii="Times New Roman" w:hAnsi="Times New Roman" w:cs="Times New Roman"/>
          <w:color w:val="000000"/>
          <w:sz w:val="20"/>
          <w:szCs w:val="20"/>
        </w:rPr>
        <w:t xml:space="preserve">. Then, on remand, the Service, once again, failed to credit the Halbert study and, once again, relied on an (arguably) conflicting study without offering a reasoned explanation for that choice. It </w:t>
      </w:r>
      <w:r>
        <w:rPr>
          <w:rFonts w:ascii="Times New Roman" w:hAnsi="Times New Roman" w:cs="Times New Roman"/>
          <w:color w:val="000000"/>
          <w:sz w:val="20"/>
          <w:szCs w:val="20"/>
        </w:rPr>
        <w:t xml:space="preserve">is far from clear that such perfunctory treatment would suffice at the 12-month stage, but it certainly does not fly at the 90-day stage, to which this matter was remanded to allow the Service either to credit the study or explain why it “is unreliable, irrelevant, or otherwise unreasonable to credit,” </w:t>
      </w:r>
      <w:r>
        <w:rPr>
          <w:rFonts w:ascii="Times New Roman" w:hAnsi="Times New Roman" w:cs="Times New Roman"/>
          <w:i/>
          <w:iCs/>
          <w:color w:val="000000"/>
          <w:sz w:val="20"/>
          <w:szCs w:val="20"/>
        </w:rPr>
        <w:t>id.</w:t>
      </w:r>
    </w:p>
    <w:p w14:paraId="5C0E599E"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D90DEF0" w14:textId="77777777" w:rsidR="001855D2" w:rsidRDefault="005A740A">
      <w:pPr>
        <w:widowControl w:val="0"/>
        <w:autoSpaceDE w:val="0"/>
        <w:autoSpaceDN w:val="0"/>
        <w:adjustRightInd w:val="0"/>
        <w:jc w:val="both"/>
        <w:rPr>
          <w:rFonts w:ascii="Times New Roman" w:hAnsi="Times New Roman" w:cs="Times New Roman"/>
          <w:color w:val="000000"/>
          <w:sz w:val="16"/>
          <w:szCs w:val="16"/>
        </w:rPr>
      </w:pPr>
      <w:r>
        <w:rPr>
          <w:rFonts w:ascii="Times New Roman" w:hAnsi="Times New Roman" w:cs="Times New Roman"/>
          <w:color w:val="000000"/>
          <w:sz w:val="20"/>
          <w:szCs w:val="20"/>
        </w:rPr>
        <w:t xml:space="preserve">It is, of course, possible that the Halbert study is flawed in a material respect. It is possible that its data are outdated and that the tipping point in mixing between the central and northern herds occurred in the short window between when the data were collected for that study and when the data were collected for the Forgacs study. It is possible that mitochondrial DNA is more important than nuclear DNA in measuring genetic divergence. It is possible that the Hedrick study either overestimated the MVP for Yellowstone bison or that its analysis does not extend to subpopulations. And perhaps the Service not only accepted one or more of these possibilities but, also, rationally concluded that the question was sufficiently open-and-shut that it could, and should, be resolved at the 90-day stage. But the Court can defer to an agency’s scientific judgment only if the agency’s rationale “may reasonably be discerned,” </w:t>
      </w:r>
      <w:hyperlink r:id="rId115" w:anchor="co_pp_sp_780_497" w:history="1">
        <w:r>
          <w:rPr>
            <w:rFonts w:ascii="Times New Roman" w:hAnsi="Times New Roman" w:cs="Times New Roman"/>
            <w:i/>
            <w:iCs/>
            <w:color w:val="0E568C"/>
            <w:sz w:val="20"/>
            <w:szCs w:val="20"/>
          </w:rPr>
          <w:t>Alaska Dep’t of Env’t Conservation</w:t>
        </w:r>
        <w:r>
          <w:rPr>
            <w:rFonts w:ascii="Times New Roman" w:hAnsi="Times New Roman" w:cs="Times New Roman"/>
            <w:color w:val="0E568C"/>
            <w:sz w:val="20"/>
            <w:szCs w:val="20"/>
          </w:rPr>
          <w:t>, 540 U.S. at 497</w:t>
        </w:r>
      </w:hyperlink>
      <w:r>
        <w:rPr>
          <w:rFonts w:ascii="Times New Roman" w:hAnsi="Times New Roman" w:cs="Times New Roman"/>
          <w:color w:val="000000"/>
          <w:sz w:val="20"/>
          <w:szCs w:val="20"/>
        </w:rPr>
        <w:t>, and the 2019 finding says none of this. Just as the Court may not substitute its scientific judgment for that of an expert agency, it may not guess at what the agency might have intended or might say on (yet another) remand.</w:t>
      </w:r>
      <w:bookmarkStart w:id="30" w:name="co_fnRef_B00062055372206_ID0ED2BI_1"/>
      <w:bookmarkEnd w:id="30"/>
      <w:r>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 xml:space="preserve">HYPERLINK "#co_footnote_B00062055372206_1" </w:instrText>
      </w:r>
      <w:r>
        <w:rPr>
          <w:rFonts w:ascii="Times New Roman" w:hAnsi="Times New Roman" w:cs="Times New Roman"/>
          <w:color w:val="000000"/>
          <w:sz w:val="16"/>
          <w:szCs w:val="16"/>
        </w:rPr>
        <w:fldChar w:fldCharType="separate"/>
      </w:r>
      <w:r>
        <w:rPr>
          <w:rFonts w:ascii="Times New Roman" w:hAnsi="Times New Roman" w:cs="Times New Roman"/>
          <w:color w:val="0E568C"/>
          <w:sz w:val="16"/>
          <w:szCs w:val="16"/>
          <w:vertAlign w:val="superscript"/>
        </w:rPr>
        <w:t>6</w:t>
      </w:r>
      <w:r>
        <w:rPr>
          <w:rFonts w:ascii="Times New Roman" w:hAnsi="Times New Roman" w:cs="Times New Roman"/>
          <w:color w:val="000000"/>
          <w:sz w:val="16"/>
          <w:szCs w:val="16"/>
        </w:rPr>
        <w:fldChar w:fldCharType="end"/>
      </w:r>
    </w:p>
    <w:p w14:paraId="29C55D2E"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39465D6"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The Court, accordingly, concludes that the Service’s 2019 finding fails to comport with the governing evidentiary standard at the 90-day stage and disregards an important aspect of the issue that was before it. The Court will, accordingly, grant summary judgment in Plaintiffs’ favor.</w:t>
      </w:r>
    </w:p>
    <w:p w14:paraId="3F137817"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8F2F0C8"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p>
    <w:p w14:paraId="4B0C0E1C"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bookmarkStart w:id="31" w:name="co_anchor_I016860d17ac011ec9d2cf9521495b"/>
      <w:bookmarkEnd w:id="31"/>
    </w:p>
    <w:p w14:paraId="28861FC4" w14:textId="77777777" w:rsidR="001855D2" w:rsidRDefault="005A740A">
      <w:pPr>
        <w:widowControl w:val="0"/>
        <w:autoSpaceDE w:val="0"/>
        <w:autoSpaceDN w:val="0"/>
        <w:adjustRightInd w:val="0"/>
        <w:spacing w:before="40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C. Appropriate Remedy</w:t>
      </w:r>
    </w:p>
    <w:p w14:paraId="3C7D62A4"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bookmarkStart w:id="32" w:name="co_pp_sp_999_14_1"/>
      <w:bookmarkEnd w:id="32"/>
      <w:r>
        <w:rPr>
          <w:rFonts w:ascii="Times New Roman" w:hAnsi="Times New Roman" w:cs="Times New Roman"/>
          <w:b/>
          <w:bCs/>
          <w:color w:val="000000"/>
          <w:sz w:val="20"/>
          <w:szCs w:val="20"/>
        </w:rPr>
        <w:t>*14</w:t>
      </w:r>
      <w:r>
        <w:rPr>
          <w:rFonts w:ascii="Times New Roman" w:hAnsi="Times New Roman" w:cs="Times New Roman"/>
          <w:color w:val="000000"/>
          <w:sz w:val="20"/>
          <w:szCs w:val="20"/>
        </w:rPr>
        <w:t xml:space="preserve"> Plaintiffs argue that the Court should vacate the 2019 finding and remand the matter to the Service for further review; that it should direct the agency to complete its review on remand within 90 days; and that the Court possesses the additional equitable discretion “to order [the Service] to proceed [directly to] a 12-month status review.” Dkt. 19 at 52. As explained below, the Court agrees that the proper remedy is vacatur and remand but is unpersuaded that the remand should come with a strict time limit or that the Court should, in effect, make an affirmative determination on the pending 90-day petitions and direct that the Service conduct a 12-month review. The Court will, however, direct the parties to file a joint status report in 90 days informing the Court of the status of proceedings on remand.</w:t>
      </w:r>
    </w:p>
    <w:p w14:paraId="313E0F83"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w:t>
      </w:r>
    </w:p>
    <w:p w14:paraId="34E5D794"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role of a district court in reviewing agency action under the APA is limited. Here, the question before the Court is not whether the Yellowstone bison should be listed as endangered or threatened or even whether listing “may be warranted,” </w:t>
      </w:r>
      <w:hyperlink r:id="rId116" w:anchor="co_pp_609d000059b95" w:history="1">
        <w:r>
          <w:rPr>
            <w:rFonts w:ascii="Times New Roman" w:hAnsi="Times New Roman" w:cs="Times New Roman"/>
            <w:color w:val="0E568C"/>
            <w:sz w:val="20"/>
            <w:szCs w:val="20"/>
          </w:rPr>
          <w:t>16 U.S.C. § 1533(b)(3)(A)</w:t>
        </w:r>
      </w:hyperlink>
      <w:r>
        <w:rPr>
          <w:rFonts w:ascii="Times New Roman" w:hAnsi="Times New Roman" w:cs="Times New Roman"/>
          <w:color w:val="000000"/>
          <w:sz w:val="20"/>
          <w:szCs w:val="20"/>
        </w:rPr>
        <w:t xml:space="preserve">—and the Court has no view on those questions. Rather, the Court merely holds that the Service applied the wrong standard, failed to address a significant aspect of the question before it, and failed adequately to explain its decision. None of those conclusions dictates—or even suggests—that the statutory standard for proceeding to a 12-month review is satisfied, and, without such a finding, the Service’s statutory duty to undertake such a review under </w:t>
      </w:r>
      <w:hyperlink r:id="rId117" w:anchor="co_pp_6a460000f7311" w:history="1">
        <w:r>
          <w:rPr>
            <w:rFonts w:ascii="Times New Roman" w:hAnsi="Times New Roman" w:cs="Times New Roman"/>
            <w:color w:val="0E568C"/>
            <w:sz w:val="20"/>
            <w:szCs w:val="20"/>
          </w:rPr>
          <w:t>Section 1533(b)(3)(B)</w:t>
        </w:r>
      </w:hyperlink>
      <w:r>
        <w:rPr>
          <w:rFonts w:ascii="Times New Roman" w:hAnsi="Times New Roman" w:cs="Times New Roman"/>
          <w:color w:val="000000"/>
          <w:sz w:val="20"/>
          <w:szCs w:val="20"/>
        </w:rPr>
        <w:t xml:space="preserve"> is not triggered. For the Court to order otherwise would be to disregard the statutory text.</w:t>
      </w:r>
    </w:p>
    <w:p w14:paraId="708C0B13"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791CE97"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That conclusion, moreover, is consistent with settled law under the APA. As the D.C. Circuit has repeatedly observed, “when a court reviewing agency action determines that an agency made an error of law, the court’s inquiry is at an end,” and, ordinarily, “the case must be remanded to the agency for further action consistent with the corrected legal standards.” </w:t>
      </w:r>
      <w:hyperlink r:id="rId118" w:anchor="co_pp_sp_506_365" w:history="1">
        <w:r>
          <w:rPr>
            <w:rFonts w:ascii="Times New Roman" w:hAnsi="Times New Roman" w:cs="Times New Roman"/>
            <w:i/>
            <w:iCs/>
            <w:color w:val="0E568C"/>
            <w:sz w:val="20"/>
            <w:szCs w:val="20"/>
          </w:rPr>
          <w:t>PPG Indus., Inc. v. United States</w:t>
        </w:r>
        <w:r>
          <w:rPr>
            <w:rFonts w:ascii="Times New Roman" w:hAnsi="Times New Roman" w:cs="Times New Roman"/>
            <w:color w:val="0E568C"/>
            <w:sz w:val="20"/>
            <w:szCs w:val="20"/>
          </w:rPr>
          <w:t>, 52 F.3d 363, 365 (D.C. Cir. 1995)</w:t>
        </w:r>
      </w:hyperlink>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accord</w:t>
      </w:r>
      <w:r>
        <w:rPr>
          <w:rFonts w:ascii="Times New Roman" w:hAnsi="Times New Roman" w:cs="Times New Roman"/>
          <w:color w:val="000000"/>
          <w:sz w:val="20"/>
          <w:szCs w:val="20"/>
        </w:rPr>
        <w:t xml:space="preserve"> </w:t>
      </w:r>
      <w:hyperlink r:id="rId119" w:anchor="co_pp_sp_506_861" w:history="1">
        <w:r>
          <w:rPr>
            <w:rFonts w:ascii="Times New Roman" w:hAnsi="Times New Roman" w:cs="Times New Roman"/>
            <w:i/>
            <w:iCs/>
            <w:color w:val="0E568C"/>
            <w:sz w:val="20"/>
            <w:szCs w:val="20"/>
          </w:rPr>
          <w:t>N. Air Cargo v. U.S. Postal Serv.</w:t>
        </w:r>
        <w:r>
          <w:rPr>
            <w:rFonts w:ascii="Times New Roman" w:hAnsi="Times New Roman" w:cs="Times New Roman"/>
            <w:color w:val="0E568C"/>
            <w:sz w:val="20"/>
            <w:szCs w:val="20"/>
          </w:rPr>
          <w:t>, 674 F.3d 852, 861 (D.C. Cir. 2012)</w:t>
        </w:r>
      </w:hyperlink>
      <w:r>
        <w:rPr>
          <w:rFonts w:ascii="Times New Roman" w:hAnsi="Times New Roman" w:cs="Times New Roman"/>
          <w:color w:val="000000"/>
          <w:sz w:val="20"/>
          <w:szCs w:val="20"/>
        </w:rPr>
        <w:t xml:space="preserve"> (“When a district court reverses agency action and determines that the agency acted unlawfully, ordinarily the appropriate course is simply to identify a legal error and then remand to the agency, because the role of the district court in such situations is to act as an appellate tribunal.”). Accordingly, “the proper course, except in rare circumstances, is to remand to the agency for additional investigation or explanation.” </w:t>
      </w:r>
      <w:hyperlink r:id="rId120" w:anchor="co_pp_sp_780_744" w:history="1">
        <w:r>
          <w:rPr>
            <w:rFonts w:ascii="Times New Roman" w:hAnsi="Times New Roman" w:cs="Times New Roman"/>
            <w:i/>
            <w:iCs/>
            <w:color w:val="0E568C"/>
            <w:sz w:val="20"/>
            <w:szCs w:val="20"/>
          </w:rPr>
          <w:t>Fla. Power &amp; Light Co. v. Lorion</w:t>
        </w:r>
        <w:r>
          <w:rPr>
            <w:rFonts w:ascii="Times New Roman" w:hAnsi="Times New Roman" w:cs="Times New Roman"/>
            <w:color w:val="0E568C"/>
            <w:sz w:val="20"/>
            <w:szCs w:val="20"/>
          </w:rPr>
          <w:t>, 470 U.S. 729, 744 (1985)</w:t>
        </w:r>
      </w:hyperlink>
      <w:r>
        <w:rPr>
          <w:rFonts w:ascii="Times New Roman" w:hAnsi="Times New Roman" w:cs="Times New Roman"/>
          <w:color w:val="000000"/>
          <w:sz w:val="20"/>
          <w:szCs w:val="20"/>
        </w:rPr>
        <w:t>.</w:t>
      </w:r>
    </w:p>
    <w:p w14:paraId="3FAF45E8"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219A0F6"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Such rare circumstances are not present here. Although the Service has twice failed to employ the correct the evidentiary standard in reviewing the long-pending petitions, there is no reason to believe that the agency is acting in bad faith or that it is unprepared to adhere to the Court’s decision. Nor is this a case in which the Service so departed from the usual process for conducting a 90-day review that its 90-day review, “[i]n effect, ... constituted </w:t>
      </w:r>
      <w:r>
        <w:rPr>
          <w:rFonts w:ascii="Times New Roman" w:hAnsi="Times New Roman" w:cs="Times New Roman"/>
          <w:color w:val="000000"/>
          <w:sz w:val="20"/>
          <w:szCs w:val="20"/>
        </w:rPr>
        <w:t xml:space="preserve">the beginning of a [12-month] status review.” </w:t>
      </w:r>
      <w:hyperlink r:id="rId121" w:anchor="co_pp_sp_4637_178" w:history="1">
        <w:r>
          <w:rPr>
            <w:rFonts w:ascii="Times New Roman" w:hAnsi="Times New Roman" w:cs="Times New Roman"/>
            <w:i/>
            <w:iCs/>
            <w:color w:val="0E568C"/>
            <w:sz w:val="20"/>
            <w:szCs w:val="20"/>
          </w:rPr>
          <w:t>Colo. River Cutthroat Trout v. Kempthorne</w:t>
        </w:r>
        <w:r>
          <w:rPr>
            <w:rFonts w:ascii="Times New Roman" w:hAnsi="Times New Roman" w:cs="Times New Roman"/>
            <w:color w:val="0E568C"/>
            <w:sz w:val="20"/>
            <w:szCs w:val="20"/>
          </w:rPr>
          <w:t>, 448 F. Supp. 2d 170, 178 (D.D.C. 2006)</w:t>
        </w:r>
      </w:hyperlink>
      <w:r>
        <w:rPr>
          <w:rFonts w:ascii="Times New Roman" w:hAnsi="Times New Roman" w:cs="Times New Roman"/>
          <w:color w:val="000000"/>
          <w:sz w:val="20"/>
          <w:szCs w:val="20"/>
        </w:rPr>
        <w:t>. It is concerning, to be sure, that over seven years have now passed since the 2014 petition was filed. But it remains unclear whether sufficient basis exists to proceed to the next stage of the ESA process, and, in light of the substantial amount of work done to date, the Service should be able to answer that question promptly.</w:t>
      </w:r>
    </w:p>
    <w:p w14:paraId="6C40C260"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B6DC1E2"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Court is also unpersuaded that it should order the Service to issue a new finding within 90 days. The statute, of course, compels the agency to act within 90 days “[t]o the maximum extent practicable.” </w:t>
      </w:r>
      <w:hyperlink r:id="rId122" w:anchor="co_pp_609d000059b95" w:history="1">
        <w:r>
          <w:rPr>
            <w:rFonts w:ascii="Times New Roman" w:hAnsi="Times New Roman" w:cs="Times New Roman"/>
            <w:color w:val="0E568C"/>
            <w:sz w:val="20"/>
            <w:szCs w:val="20"/>
          </w:rPr>
          <w:t>16 U.S.C. § 1533(b)(3)(A)</w:t>
        </w:r>
      </w:hyperlink>
      <w:r>
        <w:rPr>
          <w:rFonts w:ascii="Times New Roman" w:hAnsi="Times New Roman" w:cs="Times New Roman"/>
          <w:color w:val="000000"/>
          <w:sz w:val="20"/>
          <w:szCs w:val="20"/>
        </w:rPr>
        <w:t>. This is not a license to take 120 or 150 days, if it is possible to act sooner. But Congress anticipated that, under some circumstances, the Service might be unable to reach a decision in 90 days, and the Court cannot, based on the present record, exclude such a possibility here. To ensure that the Service moves as quickly as “practicable,” however, and in light of the lengthy delay to date and the substantial work that the Service has already completed, the Court will require the parties to file a joint status report within 90 days of this decision, updating the Court about the status of the proceeding on remand.</w:t>
      </w:r>
    </w:p>
    <w:p w14:paraId="0CB3A8E3"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362BF44" w14:textId="77777777" w:rsidR="001855D2" w:rsidRDefault="001855D2">
      <w:pPr>
        <w:widowControl w:val="0"/>
        <w:autoSpaceDE w:val="0"/>
        <w:autoSpaceDN w:val="0"/>
        <w:adjustRightInd w:val="0"/>
        <w:jc w:val="both"/>
        <w:rPr>
          <w:rFonts w:ascii="Times New Roman" w:hAnsi="Times New Roman" w:cs="Times New Roman"/>
          <w:color w:val="000000"/>
          <w:sz w:val="20"/>
          <w:szCs w:val="20"/>
        </w:rPr>
      </w:pPr>
      <w:bookmarkStart w:id="33" w:name="co_anchor_I016b95217ac011ec9d2cf9521495b"/>
      <w:bookmarkEnd w:id="33"/>
    </w:p>
    <w:p w14:paraId="5E507363" w14:textId="77777777" w:rsidR="001855D2" w:rsidRDefault="005A740A">
      <w:pPr>
        <w:widowControl w:val="0"/>
        <w:autoSpaceDE w:val="0"/>
        <w:autoSpaceDN w:val="0"/>
        <w:adjustRightInd w:val="0"/>
        <w:spacing w:before="400" w:after="20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CONCLUSION</w:t>
      </w:r>
    </w:p>
    <w:p w14:paraId="4F677514"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bookmarkStart w:id="34" w:name="co_pp_sp_999_15_1"/>
      <w:bookmarkEnd w:id="34"/>
      <w:r>
        <w:rPr>
          <w:rFonts w:ascii="Times New Roman" w:hAnsi="Times New Roman" w:cs="Times New Roman"/>
          <w:b/>
          <w:bCs/>
          <w:color w:val="000000"/>
          <w:sz w:val="20"/>
          <w:szCs w:val="20"/>
        </w:rPr>
        <w:t>*15</w:t>
      </w:r>
      <w:r>
        <w:rPr>
          <w:rFonts w:ascii="Times New Roman" w:hAnsi="Times New Roman" w:cs="Times New Roman"/>
          <w:color w:val="000000"/>
          <w:sz w:val="20"/>
          <w:szCs w:val="20"/>
        </w:rPr>
        <w:t xml:space="preserve"> The Court, accordingly, will </w:t>
      </w:r>
      <w:r>
        <w:rPr>
          <w:rFonts w:ascii="Times New Roman" w:hAnsi="Times New Roman" w:cs="Times New Roman"/>
          <w:b/>
          <w:bCs/>
          <w:color w:val="000000"/>
          <w:sz w:val="20"/>
          <w:szCs w:val="20"/>
        </w:rPr>
        <w:t>GRANT</w:t>
      </w:r>
      <w:r>
        <w:rPr>
          <w:rFonts w:ascii="Times New Roman" w:hAnsi="Times New Roman" w:cs="Times New Roman"/>
          <w:color w:val="000000"/>
          <w:sz w:val="20"/>
          <w:szCs w:val="20"/>
        </w:rPr>
        <w:t xml:space="preserve"> Plaintiffs’ motion for summary judgment, Dkt. 19, and will </w:t>
      </w:r>
      <w:r>
        <w:rPr>
          <w:rFonts w:ascii="Times New Roman" w:hAnsi="Times New Roman" w:cs="Times New Roman"/>
          <w:b/>
          <w:bCs/>
          <w:color w:val="000000"/>
          <w:sz w:val="20"/>
          <w:szCs w:val="20"/>
        </w:rPr>
        <w:t>DENY</w:t>
      </w:r>
      <w:r>
        <w:rPr>
          <w:rFonts w:ascii="Times New Roman" w:hAnsi="Times New Roman" w:cs="Times New Roman"/>
          <w:color w:val="000000"/>
          <w:sz w:val="20"/>
          <w:szCs w:val="20"/>
        </w:rPr>
        <w:t xml:space="preserve"> Defendants’ cross-motion for summary judgment, Dkt. 20. The Court will remand the decision to the Service for further review.</w:t>
      </w:r>
    </w:p>
    <w:p w14:paraId="4F03717B"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2256721"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A separate order will issue.</w:t>
      </w:r>
    </w:p>
    <w:p w14:paraId="7FF248F5"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CE5D565" w14:textId="77777777" w:rsidR="001855D2" w:rsidRDefault="005A740A">
      <w:pPr>
        <w:widowControl w:val="0"/>
        <w:autoSpaceDE w:val="0"/>
        <w:autoSpaceDN w:val="0"/>
        <w:adjustRightInd w:val="0"/>
        <w:spacing w:before="200" w:after="200"/>
        <w:jc w:val="both"/>
        <w:rPr>
          <w:rFonts w:ascii="Times New Roman" w:hAnsi="Times New Roman" w:cs="Times New Roman"/>
          <w:b/>
          <w:bCs/>
          <w:color w:val="212121"/>
          <w:sz w:val="20"/>
          <w:szCs w:val="20"/>
        </w:rPr>
      </w:pPr>
      <w:bookmarkStart w:id="35" w:name="co_allCitations_1"/>
      <w:bookmarkEnd w:id="35"/>
      <w:r>
        <w:rPr>
          <w:rFonts w:ascii="Times New Roman" w:hAnsi="Times New Roman" w:cs="Times New Roman"/>
          <w:b/>
          <w:bCs/>
          <w:color w:val="212121"/>
          <w:sz w:val="20"/>
          <w:szCs w:val="20"/>
        </w:rPr>
        <w:t>All Citations</w:t>
      </w:r>
    </w:p>
    <w:p w14:paraId="683836DE" w14:textId="77777777" w:rsidR="001855D2" w:rsidRDefault="005A740A">
      <w:pPr>
        <w:widowControl w:val="0"/>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Slip Copy, 2022 WL 111246</w:t>
      </w:r>
    </w:p>
    <w:p w14:paraId="4F9DBECF" w14:textId="77777777" w:rsidR="001855D2" w:rsidRDefault="001855D2">
      <w:pPr>
        <w:widowControl w:val="0"/>
        <w:autoSpaceDE w:val="0"/>
        <w:autoSpaceDN w:val="0"/>
        <w:adjustRightInd w:val="0"/>
        <w:rPr>
          <w:rFonts w:ascii="sans-serif" w:hAnsi="sans-serif" w:cs="sans-serif"/>
          <w:color w:val="000000"/>
        </w:rPr>
      </w:pPr>
    </w:p>
    <w:p w14:paraId="71ADF512" w14:textId="77777777" w:rsidR="001855D2" w:rsidRDefault="001855D2">
      <w:pPr>
        <w:widowControl w:val="0"/>
        <w:autoSpaceDE w:val="0"/>
        <w:autoSpaceDN w:val="0"/>
        <w:adjustRightInd w:val="0"/>
        <w:rPr>
          <w:rFonts w:ascii="Arial" w:hAnsi="Arial" w:cs="Arial"/>
        </w:rPr>
        <w:sectPr w:rsidR="001855D2">
          <w:type w:val="continuous"/>
          <w:pgSz w:w="12240" w:h="15840"/>
          <w:pgMar w:top="1080" w:right="1080" w:bottom="1080" w:left="1080" w:header="720" w:footer="720" w:gutter="0"/>
          <w:cols w:num="2" w:space="720"/>
          <w:noEndnote/>
        </w:sectPr>
      </w:pPr>
    </w:p>
    <w:tbl>
      <w:tblPr>
        <w:tblW w:w="0" w:type="auto"/>
        <w:tblLayout w:type="fixed"/>
        <w:tblCellMar>
          <w:left w:w="0" w:type="dxa"/>
          <w:right w:w="0" w:type="dxa"/>
        </w:tblCellMar>
        <w:tblLook w:val="0000" w:firstRow="0" w:lastRow="0" w:firstColumn="0" w:lastColumn="0" w:noHBand="0" w:noVBand="0"/>
      </w:tblPr>
      <w:tblGrid>
        <w:gridCol w:w="600"/>
        <w:gridCol w:w="9480"/>
      </w:tblGrid>
      <w:tr w:rsidR="001855D2" w14:paraId="6A8B902F" w14:textId="77777777">
        <w:tc>
          <w:tcPr>
            <w:tcW w:w="10080" w:type="dxa"/>
            <w:gridSpan w:val="2"/>
            <w:tcBorders>
              <w:top w:val="nil"/>
              <w:left w:val="nil"/>
              <w:bottom w:val="nil"/>
              <w:right w:val="nil"/>
            </w:tcBorders>
            <w:tcMar>
              <w:top w:w="200" w:type="dxa"/>
            </w:tcMar>
          </w:tcPr>
          <w:p w14:paraId="399FA6A1" w14:textId="77777777" w:rsidR="001855D2" w:rsidRDefault="005A740A">
            <w:pPr>
              <w:widowControl w:val="0"/>
              <w:autoSpaceDE w:val="0"/>
              <w:autoSpaceDN w:val="0"/>
              <w:adjustRightInd w:val="0"/>
              <w:rPr>
                <w:rFonts w:ascii="sans-serif" w:hAnsi="sans-serif" w:cs="sans-serif"/>
                <w:color w:val="000000"/>
                <w:sz w:val="20"/>
                <w:szCs w:val="20"/>
              </w:rPr>
            </w:pPr>
            <w:r>
              <w:rPr>
                <w:rFonts w:ascii="sans-serif" w:hAnsi="sans-serif" w:cs="sans-serif"/>
                <w:color w:val="000000"/>
                <w:sz w:val="20"/>
                <w:szCs w:val="20"/>
              </w:rPr>
              <w:t>Footnotes</w:t>
            </w:r>
          </w:p>
          <w:p w14:paraId="3CC84854" w14:textId="77777777" w:rsidR="001855D2" w:rsidRDefault="001855D2">
            <w:pPr>
              <w:widowControl w:val="0"/>
              <w:autoSpaceDE w:val="0"/>
              <w:autoSpaceDN w:val="0"/>
              <w:adjustRightInd w:val="0"/>
              <w:rPr>
                <w:rFonts w:ascii="sans-serif" w:hAnsi="sans-serif" w:cs="sans-serif"/>
                <w:color w:val="000000"/>
                <w:sz w:val="20"/>
                <w:szCs w:val="20"/>
              </w:rPr>
            </w:pPr>
          </w:p>
        </w:tc>
      </w:tr>
      <w:bookmarkStart w:id="36" w:name="co_footnote_B00012055372206_1"/>
      <w:bookmarkEnd w:id="36"/>
      <w:tr w:rsidR="001855D2" w14:paraId="59CA5873" w14:textId="77777777">
        <w:tc>
          <w:tcPr>
            <w:tcW w:w="600" w:type="dxa"/>
            <w:tcBorders>
              <w:top w:val="nil"/>
              <w:left w:val="nil"/>
              <w:bottom w:val="nil"/>
              <w:right w:val="nil"/>
            </w:tcBorders>
          </w:tcPr>
          <w:p w14:paraId="07275AD5" w14:textId="77777777" w:rsidR="001855D2" w:rsidRDefault="005A740A">
            <w:pPr>
              <w:widowControl w:val="0"/>
              <w:autoSpaceDE w:val="0"/>
              <w:autoSpaceDN w:val="0"/>
              <w:adjustRightInd w:val="0"/>
              <w:rPr>
                <w:rFonts w:ascii="sans-serif" w:hAnsi="sans-serif" w:cs="sans-serif"/>
                <w:color w:val="000000"/>
              </w:rPr>
            </w:pPr>
            <w:r>
              <w:rPr>
                <w:rFonts w:ascii="sans-serif" w:hAnsi="sans-serif" w:cs="sans-serif"/>
                <w:color w:val="000000"/>
              </w:rPr>
              <w:fldChar w:fldCharType="begin"/>
            </w:r>
            <w:r>
              <w:rPr>
                <w:rFonts w:ascii="sans-serif" w:hAnsi="sans-serif" w:cs="sans-serif"/>
                <w:color w:val="000000"/>
              </w:rPr>
              <w:instrText xml:space="preserve">HYPERLINK "#co_fnRef_B00012055372206_ID0EJF_1" </w:instrText>
            </w:r>
            <w:r>
              <w:rPr>
                <w:rFonts w:ascii="sans-serif" w:hAnsi="sans-serif" w:cs="sans-serif"/>
                <w:color w:val="000000"/>
              </w:rPr>
              <w:fldChar w:fldCharType="separate"/>
            </w:r>
            <w:r>
              <w:rPr>
                <w:rFonts w:ascii="sans-serif" w:hAnsi="sans-serif" w:cs="sans-serif"/>
                <w:color w:val="0E568C"/>
                <w:vertAlign w:val="superscript"/>
              </w:rPr>
              <w:t>1</w:t>
            </w:r>
            <w:r>
              <w:rPr>
                <w:rFonts w:ascii="sans-serif" w:hAnsi="sans-serif" w:cs="sans-serif"/>
                <w:color w:val="000000"/>
              </w:rPr>
              <w:fldChar w:fldCharType="end"/>
            </w:r>
          </w:p>
          <w:p w14:paraId="0BD4453F" w14:textId="77777777" w:rsidR="001855D2" w:rsidRDefault="001855D2">
            <w:pPr>
              <w:widowControl w:val="0"/>
              <w:autoSpaceDE w:val="0"/>
              <w:autoSpaceDN w:val="0"/>
              <w:adjustRightInd w:val="0"/>
              <w:rPr>
                <w:rFonts w:ascii="sans-serif" w:hAnsi="sans-serif" w:cs="sans-serif"/>
                <w:color w:val="000000"/>
              </w:rPr>
            </w:pPr>
          </w:p>
        </w:tc>
        <w:tc>
          <w:tcPr>
            <w:tcW w:w="9480" w:type="dxa"/>
            <w:tcBorders>
              <w:top w:val="nil"/>
              <w:left w:val="nil"/>
              <w:bottom w:val="nil"/>
              <w:right w:val="nil"/>
            </w:tcBorders>
          </w:tcPr>
          <w:p w14:paraId="69712746" w14:textId="77777777" w:rsidR="001855D2" w:rsidRDefault="005A740A">
            <w:pPr>
              <w:widowControl w:val="0"/>
              <w:autoSpaceDE w:val="0"/>
              <w:autoSpaceDN w:val="0"/>
              <w:adjustRightInd w:val="0"/>
              <w:jc w:val="both"/>
              <w:rPr>
                <w:rFonts w:ascii="sans-serif" w:hAnsi="sans-serif" w:cs="sans-serif"/>
                <w:color w:val="000000"/>
                <w:sz w:val="18"/>
                <w:szCs w:val="18"/>
              </w:rPr>
            </w:pPr>
            <w:r>
              <w:rPr>
                <w:rFonts w:ascii="sans-serif" w:hAnsi="sans-serif" w:cs="sans-serif"/>
                <w:color w:val="000000"/>
                <w:sz w:val="18"/>
                <w:szCs w:val="18"/>
              </w:rPr>
              <w:t xml:space="preserve">Because Defendant Aurelia Skipwith is no longer Director of the U.S. Fish and Wildlife Service, the Court substitutes Martha Williams, the Principal Deputy Director of the U.S. Fish and Wildlife Service exercising the delegable authority of the director. </w:t>
            </w:r>
            <w:hyperlink r:id="rId123" w:history="1">
              <w:r>
                <w:rPr>
                  <w:rFonts w:ascii="sans-serif" w:hAnsi="sans-serif" w:cs="sans-serif"/>
                  <w:color w:val="0E568C"/>
                  <w:sz w:val="18"/>
                  <w:szCs w:val="18"/>
                </w:rPr>
                <w:t>Fed. R. Civ. P. 25(d)</w:t>
              </w:r>
            </w:hyperlink>
            <w:r>
              <w:rPr>
                <w:rFonts w:ascii="sans-serif" w:hAnsi="sans-serif" w:cs="sans-serif"/>
                <w:color w:val="000000"/>
                <w:sz w:val="18"/>
                <w:szCs w:val="18"/>
              </w:rPr>
              <w:t>.</w:t>
            </w:r>
          </w:p>
          <w:p w14:paraId="34FC9AC5" w14:textId="77777777" w:rsidR="001855D2" w:rsidRDefault="001855D2">
            <w:pPr>
              <w:widowControl w:val="0"/>
              <w:autoSpaceDE w:val="0"/>
              <w:autoSpaceDN w:val="0"/>
              <w:adjustRightInd w:val="0"/>
              <w:jc w:val="both"/>
              <w:rPr>
                <w:rFonts w:ascii="sans-serif" w:hAnsi="sans-serif" w:cs="sans-serif"/>
                <w:color w:val="000000"/>
                <w:sz w:val="18"/>
                <w:szCs w:val="18"/>
              </w:rPr>
            </w:pPr>
          </w:p>
        </w:tc>
      </w:tr>
      <w:bookmarkStart w:id="37" w:name="co_footnote_B00022055372206_1"/>
      <w:bookmarkEnd w:id="37"/>
      <w:tr w:rsidR="001855D2" w14:paraId="63B4033B" w14:textId="77777777">
        <w:tc>
          <w:tcPr>
            <w:tcW w:w="600" w:type="dxa"/>
            <w:tcBorders>
              <w:top w:val="nil"/>
              <w:left w:val="nil"/>
              <w:bottom w:val="nil"/>
              <w:right w:val="nil"/>
            </w:tcBorders>
          </w:tcPr>
          <w:p w14:paraId="42B0084C" w14:textId="77777777" w:rsidR="001855D2" w:rsidRDefault="005A740A">
            <w:pPr>
              <w:widowControl w:val="0"/>
              <w:autoSpaceDE w:val="0"/>
              <w:autoSpaceDN w:val="0"/>
              <w:adjustRightInd w:val="0"/>
              <w:rPr>
                <w:rFonts w:ascii="sans-serif" w:hAnsi="sans-serif" w:cs="sans-serif"/>
                <w:color w:val="000000"/>
              </w:rPr>
            </w:pPr>
            <w:r>
              <w:rPr>
                <w:rFonts w:ascii="sans-serif" w:hAnsi="sans-serif" w:cs="sans-serif"/>
                <w:color w:val="000000"/>
              </w:rPr>
              <w:fldChar w:fldCharType="begin"/>
            </w:r>
            <w:r>
              <w:rPr>
                <w:rFonts w:ascii="sans-serif" w:hAnsi="sans-serif" w:cs="sans-serif"/>
                <w:color w:val="000000"/>
              </w:rPr>
              <w:instrText xml:space="preserve">HYPERLINK "#co_fnRef_B00022055372206_ID0E6RAE_1" </w:instrText>
            </w:r>
            <w:r>
              <w:rPr>
                <w:rFonts w:ascii="sans-serif" w:hAnsi="sans-serif" w:cs="sans-serif"/>
                <w:color w:val="000000"/>
              </w:rPr>
              <w:fldChar w:fldCharType="separate"/>
            </w:r>
            <w:r>
              <w:rPr>
                <w:rFonts w:ascii="sans-serif" w:hAnsi="sans-serif" w:cs="sans-serif"/>
                <w:color w:val="0E568C"/>
                <w:vertAlign w:val="superscript"/>
              </w:rPr>
              <w:t>2</w:t>
            </w:r>
            <w:r>
              <w:rPr>
                <w:rFonts w:ascii="sans-serif" w:hAnsi="sans-serif" w:cs="sans-serif"/>
                <w:color w:val="000000"/>
              </w:rPr>
              <w:fldChar w:fldCharType="end"/>
            </w:r>
          </w:p>
          <w:p w14:paraId="763B2140" w14:textId="77777777" w:rsidR="001855D2" w:rsidRDefault="001855D2">
            <w:pPr>
              <w:widowControl w:val="0"/>
              <w:autoSpaceDE w:val="0"/>
              <w:autoSpaceDN w:val="0"/>
              <w:adjustRightInd w:val="0"/>
              <w:rPr>
                <w:rFonts w:ascii="sans-serif" w:hAnsi="sans-serif" w:cs="sans-serif"/>
                <w:color w:val="000000"/>
              </w:rPr>
            </w:pPr>
          </w:p>
        </w:tc>
        <w:tc>
          <w:tcPr>
            <w:tcW w:w="9480" w:type="dxa"/>
            <w:tcBorders>
              <w:top w:val="nil"/>
              <w:left w:val="nil"/>
              <w:bottom w:val="nil"/>
              <w:right w:val="nil"/>
            </w:tcBorders>
          </w:tcPr>
          <w:p w14:paraId="557785B1" w14:textId="77777777" w:rsidR="001855D2" w:rsidRDefault="005A740A">
            <w:pPr>
              <w:widowControl w:val="0"/>
              <w:autoSpaceDE w:val="0"/>
              <w:autoSpaceDN w:val="0"/>
              <w:adjustRightInd w:val="0"/>
              <w:jc w:val="both"/>
              <w:rPr>
                <w:rFonts w:ascii="sans-serif" w:hAnsi="sans-serif" w:cs="sans-serif"/>
                <w:i/>
                <w:iCs/>
                <w:color w:val="000000"/>
                <w:sz w:val="18"/>
                <w:szCs w:val="18"/>
              </w:rPr>
            </w:pPr>
            <w:r>
              <w:rPr>
                <w:rFonts w:ascii="sans-serif" w:hAnsi="sans-serif" w:cs="sans-serif"/>
                <w:color w:val="000000"/>
                <w:sz w:val="18"/>
                <w:szCs w:val="18"/>
              </w:rPr>
              <w:t xml:space="preserve">The 2019 90-day finding asserts: “In 2012, the northern herd was estimated to contain 16-31 percent of the [Yellowstone] bison population (Halbert et al. 2012, p.9).” Dkt. 25-2 at 419. This statement, however, is either inaccurate or inelegant. It is true that the Halbert study </w:t>
            </w:r>
            <w:r>
              <w:rPr>
                <w:rFonts w:ascii="sans-serif" w:hAnsi="sans-serif" w:cs="sans-serif"/>
                <w:i/>
                <w:iCs/>
                <w:color w:val="000000"/>
                <w:sz w:val="18"/>
                <w:szCs w:val="18"/>
              </w:rPr>
              <w:t>reported</w:t>
            </w:r>
            <w:r>
              <w:rPr>
                <w:rFonts w:ascii="sans-serif" w:hAnsi="sans-serif" w:cs="sans-serif"/>
                <w:color w:val="000000"/>
                <w:sz w:val="18"/>
                <w:szCs w:val="18"/>
              </w:rPr>
              <w:t xml:space="preserve"> this number “[i]n 2012,” but in doing so, it cited to statistics from the Departments of Interior and Agriculture from 2000 and another study from 2005. Dkt. 25-3 at 133. Those dates better jibe with other information in the </w:t>
            </w:r>
            <w:r>
              <w:rPr>
                <w:rFonts w:ascii="sans-serif" w:hAnsi="sans-serif" w:cs="sans-serif"/>
                <w:color w:val="000000"/>
                <w:sz w:val="18"/>
                <w:szCs w:val="18"/>
              </w:rPr>
              <w:lastRenderedPageBreak/>
              <w:t xml:space="preserve">administrative record indicating that in August 2000, the northern herd accounted for 590 of the 2,708 bison counted in the park, and, in August 2005, the northern herd accounted for 1,484 of the 5,015 bison counted in the park. Dkt. 25-3 at 100. In contrast, by late July 2012, the northern herd already accounted for 2,669 of the 4,230 bison in the park. </w:t>
            </w:r>
            <w:r>
              <w:rPr>
                <w:rFonts w:ascii="sans-serif" w:hAnsi="sans-serif" w:cs="sans-serif"/>
                <w:i/>
                <w:iCs/>
                <w:color w:val="000000"/>
                <w:sz w:val="18"/>
                <w:szCs w:val="18"/>
              </w:rPr>
              <w:t>Id.</w:t>
            </w:r>
            <w:r>
              <w:rPr>
                <w:rFonts w:ascii="sans-serif" w:hAnsi="sans-serif" w:cs="sans-serif"/>
                <w:color w:val="000000"/>
                <w:sz w:val="18"/>
                <w:szCs w:val="18"/>
              </w:rPr>
              <w:t xml:space="preserve"> at 101. That trend has continued, and by August 2017, the northern herd accounted for 3,969 of the 4,816 bison in the park. </w:t>
            </w:r>
            <w:r>
              <w:rPr>
                <w:rFonts w:ascii="sans-serif" w:hAnsi="sans-serif" w:cs="sans-serif"/>
                <w:i/>
                <w:iCs/>
                <w:color w:val="000000"/>
                <w:sz w:val="18"/>
                <w:szCs w:val="18"/>
              </w:rPr>
              <w:t>Id.</w:t>
            </w:r>
            <w:r>
              <w:rPr>
                <w:rFonts w:ascii="sans-serif" w:hAnsi="sans-serif" w:cs="sans-serif"/>
                <w:color w:val="000000"/>
                <w:sz w:val="18"/>
                <w:szCs w:val="18"/>
              </w:rPr>
              <w:t xml:space="preserve"> Meanwhile, over the same period—from August 2000 to August 2017—the number of bison in the central herd decreased from 2,118 to a mere 847 bison. </w:t>
            </w:r>
            <w:r>
              <w:rPr>
                <w:rFonts w:ascii="sans-serif" w:hAnsi="sans-serif" w:cs="sans-serif"/>
                <w:i/>
                <w:iCs/>
                <w:color w:val="000000"/>
                <w:sz w:val="18"/>
                <w:szCs w:val="18"/>
              </w:rPr>
              <w:t>Id.</w:t>
            </w:r>
          </w:p>
          <w:p w14:paraId="6550B170" w14:textId="77777777" w:rsidR="001855D2" w:rsidRDefault="001855D2">
            <w:pPr>
              <w:widowControl w:val="0"/>
              <w:autoSpaceDE w:val="0"/>
              <w:autoSpaceDN w:val="0"/>
              <w:adjustRightInd w:val="0"/>
              <w:jc w:val="both"/>
              <w:rPr>
                <w:rFonts w:ascii="sans-serif" w:hAnsi="sans-serif" w:cs="sans-serif"/>
                <w:i/>
                <w:iCs/>
                <w:color w:val="000000"/>
                <w:sz w:val="18"/>
                <w:szCs w:val="18"/>
              </w:rPr>
            </w:pPr>
          </w:p>
        </w:tc>
      </w:tr>
      <w:bookmarkStart w:id="38" w:name="co_footnote_B00032055372206_1"/>
      <w:bookmarkEnd w:id="38"/>
      <w:tr w:rsidR="001855D2" w14:paraId="44A89587" w14:textId="77777777">
        <w:tc>
          <w:tcPr>
            <w:tcW w:w="600" w:type="dxa"/>
            <w:tcBorders>
              <w:top w:val="nil"/>
              <w:left w:val="nil"/>
              <w:bottom w:val="nil"/>
              <w:right w:val="nil"/>
            </w:tcBorders>
          </w:tcPr>
          <w:p w14:paraId="0BECDDB5" w14:textId="77777777" w:rsidR="001855D2" w:rsidRDefault="005A740A">
            <w:pPr>
              <w:widowControl w:val="0"/>
              <w:autoSpaceDE w:val="0"/>
              <w:autoSpaceDN w:val="0"/>
              <w:adjustRightInd w:val="0"/>
              <w:rPr>
                <w:rFonts w:ascii="sans-serif" w:hAnsi="sans-serif" w:cs="sans-serif"/>
                <w:color w:val="000000"/>
              </w:rPr>
            </w:pPr>
            <w:r>
              <w:rPr>
                <w:rFonts w:ascii="sans-serif" w:hAnsi="sans-serif" w:cs="sans-serif"/>
                <w:color w:val="000000"/>
              </w:rPr>
              <w:lastRenderedPageBreak/>
              <w:fldChar w:fldCharType="begin"/>
            </w:r>
            <w:r>
              <w:rPr>
                <w:rFonts w:ascii="sans-serif" w:hAnsi="sans-serif" w:cs="sans-serif"/>
                <w:color w:val="000000"/>
              </w:rPr>
              <w:instrText xml:space="preserve">HYPERLINK "#co_fnRef_B00032055372206_ID0EHKBG_1" </w:instrText>
            </w:r>
            <w:r>
              <w:rPr>
                <w:rFonts w:ascii="sans-serif" w:hAnsi="sans-serif" w:cs="sans-serif"/>
                <w:color w:val="000000"/>
              </w:rPr>
              <w:fldChar w:fldCharType="separate"/>
            </w:r>
            <w:r>
              <w:rPr>
                <w:rFonts w:ascii="sans-serif" w:hAnsi="sans-serif" w:cs="sans-serif"/>
                <w:color w:val="0E568C"/>
                <w:vertAlign w:val="superscript"/>
              </w:rPr>
              <w:t>3</w:t>
            </w:r>
            <w:r>
              <w:rPr>
                <w:rFonts w:ascii="sans-serif" w:hAnsi="sans-serif" w:cs="sans-serif"/>
                <w:color w:val="000000"/>
              </w:rPr>
              <w:fldChar w:fldCharType="end"/>
            </w:r>
          </w:p>
          <w:p w14:paraId="1902121E" w14:textId="77777777" w:rsidR="001855D2" w:rsidRDefault="001855D2">
            <w:pPr>
              <w:widowControl w:val="0"/>
              <w:autoSpaceDE w:val="0"/>
              <w:autoSpaceDN w:val="0"/>
              <w:adjustRightInd w:val="0"/>
              <w:rPr>
                <w:rFonts w:ascii="sans-serif" w:hAnsi="sans-serif" w:cs="sans-serif"/>
                <w:color w:val="000000"/>
              </w:rPr>
            </w:pPr>
          </w:p>
        </w:tc>
        <w:tc>
          <w:tcPr>
            <w:tcW w:w="9480" w:type="dxa"/>
            <w:tcBorders>
              <w:top w:val="nil"/>
              <w:left w:val="nil"/>
              <w:bottom w:val="nil"/>
              <w:right w:val="nil"/>
            </w:tcBorders>
          </w:tcPr>
          <w:p w14:paraId="7F7DC690" w14:textId="77777777" w:rsidR="001855D2" w:rsidRDefault="005A740A">
            <w:pPr>
              <w:widowControl w:val="0"/>
              <w:autoSpaceDE w:val="0"/>
              <w:autoSpaceDN w:val="0"/>
              <w:adjustRightInd w:val="0"/>
              <w:jc w:val="both"/>
              <w:rPr>
                <w:rFonts w:ascii="sans-serif" w:hAnsi="sans-serif" w:cs="sans-serif"/>
                <w:color w:val="000000"/>
                <w:sz w:val="18"/>
                <w:szCs w:val="18"/>
              </w:rPr>
            </w:pPr>
            <w:r>
              <w:rPr>
                <w:rFonts w:ascii="sans-serif" w:hAnsi="sans-serif" w:cs="sans-serif"/>
                <w:color w:val="000000"/>
                <w:sz w:val="18"/>
                <w:szCs w:val="18"/>
              </w:rPr>
              <w:t xml:space="preserve">At the time the Service’s 2015 90-day finding, the regulation defined “substantial information” as the “amount of information that would lead a reasonable person to believe that the measure proposed in the petition may be warranted.” </w:t>
            </w:r>
            <w:hyperlink r:id="rId124" w:anchor="co_pp_a83b000018c76" w:history="1">
              <w:r>
                <w:rPr>
                  <w:rFonts w:ascii="sans-serif" w:hAnsi="sans-serif" w:cs="sans-serif"/>
                  <w:color w:val="0E568C"/>
                  <w:sz w:val="18"/>
                  <w:szCs w:val="18"/>
                </w:rPr>
                <w:t>50 C.F.R. § 424.14(b)(1) (2016)</w:t>
              </w:r>
            </w:hyperlink>
            <w:r>
              <w:rPr>
                <w:rFonts w:ascii="sans-serif" w:hAnsi="sans-serif" w:cs="sans-serif"/>
                <w:color w:val="000000"/>
                <w:sz w:val="18"/>
                <w:szCs w:val="18"/>
              </w:rPr>
              <w:t xml:space="preserve">. As the Service explains, the word “credible” was added to clarify that the information must be “substantiated and not mere speculation or opinion,” and the phrase “impartial scientific review” was added to clarify that “the context of this action involves evaluating scientific information.” Dkt. 20-1 at 10 (quoting </w:t>
            </w:r>
            <w:hyperlink r:id="rId125" w:anchor="co_pp_sp_1037_66462" w:history="1">
              <w:r>
                <w:rPr>
                  <w:rFonts w:ascii="sans-serif" w:hAnsi="sans-serif" w:cs="sans-serif"/>
                  <w:color w:val="0E568C"/>
                  <w:sz w:val="18"/>
                  <w:szCs w:val="18"/>
                </w:rPr>
                <w:t>81 Fed. Reg. 66,462, 66,473</w:t>
              </w:r>
            </w:hyperlink>
            <w:r>
              <w:rPr>
                <w:rFonts w:ascii="sans-serif" w:hAnsi="sans-serif" w:cs="sans-serif"/>
                <w:color w:val="000000"/>
                <w:sz w:val="18"/>
                <w:szCs w:val="18"/>
              </w:rPr>
              <w:t>). For present purposes, the clarification of the rule is immaterial; the Service does not argue that the Halbert study is based on “speculation or opinion” or that it is unscientific.</w:t>
            </w:r>
          </w:p>
          <w:p w14:paraId="17376EF6" w14:textId="77777777" w:rsidR="001855D2" w:rsidRDefault="001855D2">
            <w:pPr>
              <w:widowControl w:val="0"/>
              <w:autoSpaceDE w:val="0"/>
              <w:autoSpaceDN w:val="0"/>
              <w:adjustRightInd w:val="0"/>
              <w:jc w:val="both"/>
              <w:rPr>
                <w:rFonts w:ascii="sans-serif" w:hAnsi="sans-serif" w:cs="sans-serif"/>
                <w:color w:val="000000"/>
                <w:sz w:val="18"/>
                <w:szCs w:val="18"/>
              </w:rPr>
            </w:pPr>
          </w:p>
        </w:tc>
      </w:tr>
      <w:bookmarkStart w:id="39" w:name="co_footnote_B00042055372206_1"/>
      <w:bookmarkEnd w:id="39"/>
      <w:tr w:rsidR="001855D2" w14:paraId="1D82A4A3" w14:textId="77777777">
        <w:tc>
          <w:tcPr>
            <w:tcW w:w="600" w:type="dxa"/>
            <w:tcBorders>
              <w:top w:val="nil"/>
              <w:left w:val="nil"/>
              <w:bottom w:val="nil"/>
              <w:right w:val="nil"/>
            </w:tcBorders>
          </w:tcPr>
          <w:p w14:paraId="127D44CC" w14:textId="77777777" w:rsidR="001855D2" w:rsidRDefault="005A740A">
            <w:pPr>
              <w:widowControl w:val="0"/>
              <w:autoSpaceDE w:val="0"/>
              <w:autoSpaceDN w:val="0"/>
              <w:adjustRightInd w:val="0"/>
              <w:rPr>
                <w:rFonts w:ascii="sans-serif" w:hAnsi="sans-serif" w:cs="sans-serif"/>
                <w:color w:val="000000"/>
              </w:rPr>
            </w:pPr>
            <w:r>
              <w:rPr>
                <w:rFonts w:ascii="sans-serif" w:hAnsi="sans-serif" w:cs="sans-serif"/>
                <w:color w:val="000000"/>
              </w:rPr>
              <w:fldChar w:fldCharType="begin"/>
            </w:r>
            <w:r>
              <w:rPr>
                <w:rFonts w:ascii="sans-serif" w:hAnsi="sans-serif" w:cs="sans-serif"/>
                <w:color w:val="000000"/>
              </w:rPr>
              <w:instrText xml:space="preserve">HYPERLINK "#co_fnRef_B00042055372206_ID0EJABI_1" </w:instrText>
            </w:r>
            <w:r>
              <w:rPr>
                <w:rFonts w:ascii="sans-serif" w:hAnsi="sans-serif" w:cs="sans-serif"/>
                <w:color w:val="000000"/>
              </w:rPr>
              <w:fldChar w:fldCharType="separate"/>
            </w:r>
            <w:r>
              <w:rPr>
                <w:rFonts w:ascii="sans-serif" w:hAnsi="sans-serif" w:cs="sans-serif"/>
                <w:color w:val="0E568C"/>
                <w:vertAlign w:val="superscript"/>
              </w:rPr>
              <w:t>4</w:t>
            </w:r>
            <w:r>
              <w:rPr>
                <w:rFonts w:ascii="sans-serif" w:hAnsi="sans-serif" w:cs="sans-serif"/>
                <w:color w:val="000000"/>
              </w:rPr>
              <w:fldChar w:fldCharType="end"/>
            </w:r>
          </w:p>
          <w:p w14:paraId="6AC4F709" w14:textId="77777777" w:rsidR="001855D2" w:rsidRDefault="001855D2">
            <w:pPr>
              <w:widowControl w:val="0"/>
              <w:autoSpaceDE w:val="0"/>
              <w:autoSpaceDN w:val="0"/>
              <w:adjustRightInd w:val="0"/>
              <w:rPr>
                <w:rFonts w:ascii="sans-serif" w:hAnsi="sans-serif" w:cs="sans-serif"/>
                <w:color w:val="000000"/>
              </w:rPr>
            </w:pPr>
          </w:p>
        </w:tc>
        <w:tc>
          <w:tcPr>
            <w:tcW w:w="9480" w:type="dxa"/>
            <w:tcBorders>
              <w:top w:val="nil"/>
              <w:left w:val="nil"/>
              <w:bottom w:val="nil"/>
              <w:right w:val="nil"/>
            </w:tcBorders>
          </w:tcPr>
          <w:p w14:paraId="21460590" w14:textId="77777777" w:rsidR="001855D2" w:rsidRDefault="005A740A">
            <w:pPr>
              <w:widowControl w:val="0"/>
              <w:autoSpaceDE w:val="0"/>
              <w:autoSpaceDN w:val="0"/>
              <w:adjustRightInd w:val="0"/>
              <w:jc w:val="both"/>
              <w:rPr>
                <w:rFonts w:ascii="sans-serif" w:hAnsi="sans-serif" w:cs="sans-serif"/>
                <w:color w:val="000000"/>
                <w:sz w:val="18"/>
                <w:szCs w:val="18"/>
              </w:rPr>
            </w:pPr>
            <w:r>
              <w:rPr>
                <w:rFonts w:ascii="sans-serif" w:hAnsi="sans-serif" w:cs="sans-serif"/>
                <w:color w:val="000000"/>
                <w:sz w:val="18"/>
                <w:szCs w:val="18"/>
              </w:rPr>
              <w:t xml:space="preserve">Two of the other cited studies report more recent mixing between the herds. Dkt. 25-3 at 73 (2014 Geremia </w:t>
            </w:r>
            <w:r>
              <w:rPr>
                <w:rFonts w:ascii="sans-serif" w:hAnsi="sans-serif" w:cs="sans-serif"/>
                <w:i/>
                <w:iCs/>
                <w:color w:val="000000"/>
                <w:sz w:val="18"/>
                <w:szCs w:val="18"/>
              </w:rPr>
              <w:t>et al.</w:t>
            </w:r>
            <w:r>
              <w:rPr>
                <w:rFonts w:ascii="sans-serif" w:hAnsi="sans-serif" w:cs="sans-serif"/>
                <w:color w:val="000000"/>
                <w:sz w:val="18"/>
                <w:szCs w:val="18"/>
              </w:rPr>
              <w:t xml:space="preserve"> study describing “[m]ovements out of the central interior to northern portions of the park”); </w:t>
            </w:r>
            <w:r>
              <w:rPr>
                <w:rFonts w:ascii="sans-serif" w:hAnsi="sans-serif" w:cs="sans-serif"/>
                <w:i/>
                <w:iCs/>
                <w:color w:val="000000"/>
                <w:sz w:val="18"/>
                <w:szCs w:val="18"/>
              </w:rPr>
              <w:t>id.</w:t>
            </w:r>
            <w:r>
              <w:rPr>
                <w:rFonts w:ascii="sans-serif" w:hAnsi="sans-serif" w:cs="sans-serif"/>
                <w:color w:val="000000"/>
                <w:sz w:val="18"/>
                <w:szCs w:val="18"/>
              </w:rPr>
              <w:t xml:space="preserve"> at 90 (2017 Geremia </w:t>
            </w:r>
            <w:r>
              <w:rPr>
                <w:rFonts w:ascii="sans-serif" w:hAnsi="sans-serif" w:cs="sans-serif"/>
                <w:i/>
                <w:iCs/>
                <w:color w:val="000000"/>
                <w:sz w:val="18"/>
                <w:szCs w:val="18"/>
              </w:rPr>
              <w:t>et al.</w:t>
            </w:r>
            <w:r>
              <w:rPr>
                <w:rFonts w:ascii="sans-serif" w:hAnsi="sans-serif" w:cs="sans-serif"/>
                <w:color w:val="000000"/>
                <w:sz w:val="18"/>
                <w:szCs w:val="18"/>
              </w:rPr>
              <w:t xml:space="preserve"> study reporting “emigration of bison from central to northern Yellowstone”). But these studies do not conclude that the two herds are destined to become genetically identical or that the Service should surrender to such an outcome. On the contrary, the studies express concern over the shrinking size and disproportionate culling of the central herd. </w:t>
            </w:r>
            <w:r>
              <w:rPr>
                <w:rFonts w:ascii="sans-serif" w:hAnsi="sans-serif" w:cs="sans-serif"/>
                <w:i/>
                <w:iCs/>
                <w:color w:val="000000"/>
                <w:sz w:val="18"/>
                <w:szCs w:val="18"/>
              </w:rPr>
              <w:t>See</w:t>
            </w:r>
            <w:r>
              <w:rPr>
                <w:rFonts w:ascii="sans-serif" w:hAnsi="sans-serif" w:cs="sans-serif"/>
                <w:color w:val="000000"/>
                <w:sz w:val="18"/>
                <w:szCs w:val="18"/>
              </w:rPr>
              <w:t xml:space="preserve"> </w:t>
            </w:r>
            <w:r>
              <w:rPr>
                <w:rFonts w:ascii="sans-serif" w:hAnsi="sans-serif" w:cs="sans-serif"/>
                <w:i/>
                <w:iCs/>
                <w:color w:val="000000"/>
                <w:sz w:val="18"/>
                <w:szCs w:val="18"/>
              </w:rPr>
              <w:t>id.</w:t>
            </w:r>
            <w:r>
              <w:rPr>
                <w:rFonts w:ascii="sans-serif" w:hAnsi="sans-serif" w:cs="sans-serif"/>
                <w:color w:val="000000"/>
                <w:sz w:val="18"/>
                <w:szCs w:val="18"/>
              </w:rPr>
              <w:t xml:space="preserve"> at 73 (2014 Geremia </w:t>
            </w:r>
            <w:r>
              <w:rPr>
                <w:rFonts w:ascii="sans-serif" w:hAnsi="sans-serif" w:cs="sans-serif"/>
                <w:i/>
                <w:iCs/>
                <w:color w:val="000000"/>
                <w:sz w:val="18"/>
                <w:szCs w:val="18"/>
              </w:rPr>
              <w:t>et al.</w:t>
            </w:r>
            <w:r>
              <w:rPr>
                <w:rFonts w:ascii="sans-serif" w:hAnsi="sans-serif" w:cs="sans-serif"/>
                <w:color w:val="000000"/>
                <w:sz w:val="18"/>
                <w:szCs w:val="18"/>
              </w:rPr>
              <w:t xml:space="preserve"> study recommending that “removal actions [be] limited to bison that exit the northern boundary” of Yellowstone); </w:t>
            </w:r>
            <w:r>
              <w:rPr>
                <w:rFonts w:ascii="sans-serif" w:hAnsi="sans-serif" w:cs="sans-serif"/>
                <w:i/>
                <w:iCs/>
                <w:color w:val="000000"/>
                <w:sz w:val="18"/>
                <w:szCs w:val="18"/>
              </w:rPr>
              <w:t>id.</w:t>
            </w:r>
            <w:r>
              <w:rPr>
                <w:rFonts w:ascii="sans-serif" w:hAnsi="sans-serif" w:cs="sans-serif"/>
                <w:color w:val="000000"/>
                <w:sz w:val="18"/>
                <w:szCs w:val="18"/>
              </w:rPr>
              <w:t xml:space="preserve"> at 93 (2017 Geremia </w:t>
            </w:r>
            <w:r>
              <w:rPr>
                <w:rFonts w:ascii="sans-serif" w:hAnsi="sans-serif" w:cs="sans-serif"/>
                <w:i/>
                <w:iCs/>
                <w:color w:val="000000"/>
                <w:sz w:val="18"/>
                <w:szCs w:val="18"/>
              </w:rPr>
              <w:t>et al.</w:t>
            </w:r>
            <w:r>
              <w:rPr>
                <w:rFonts w:ascii="sans-serif" w:hAnsi="sans-serif" w:cs="sans-serif"/>
                <w:color w:val="000000"/>
                <w:sz w:val="18"/>
                <w:szCs w:val="18"/>
              </w:rPr>
              <w:t xml:space="preserve"> study discussing central herd numbers as decreasing since 2008 with a juvenile rate “substantially lower than the overall population objective”). The more recent of these two studies urges “continued monitoring to ensure undesired impacts are not occurring” on genetic structure. </w:t>
            </w:r>
            <w:r>
              <w:rPr>
                <w:rFonts w:ascii="sans-serif" w:hAnsi="sans-serif" w:cs="sans-serif"/>
                <w:i/>
                <w:iCs/>
                <w:color w:val="000000"/>
                <w:sz w:val="18"/>
                <w:szCs w:val="18"/>
              </w:rPr>
              <w:t>Id.</w:t>
            </w:r>
            <w:r>
              <w:rPr>
                <w:rFonts w:ascii="sans-serif" w:hAnsi="sans-serif" w:cs="sans-serif"/>
                <w:color w:val="000000"/>
                <w:sz w:val="18"/>
                <w:szCs w:val="18"/>
              </w:rPr>
              <w:t xml:space="preserve"> at 93.</w:t>
            </w:r>
          </w:p>
          <w:p w14:paraId="1650315E" w14:textId="77777777" w:rsidR="001855D2" w:rsidRDefault="001855D2">
            <w:pPr>
              <w:widowControl w:val="0"/>
              <w:autoSpaceDE w:val="0"/>
              <w:autoSpaceDN w:val="0"/>
              <w:adjustRightInd w:val="0"/>
              <w:jc w:val="both"/>
              <w:rPr>
                <w:rFonts w:ascii="sans-serif" w:hAnsi="sans-serif" w:cs="sans-serif"/>
                <w:color w:val="000000"/>
                <w:sz w:val="18"/>
                <w:szCs w:val="18"/>
              </w:rPr>
            </w:pPr>
          </w:p>
        </w:tc>
      </w:tr>
      <w:bookmarkStart w:id="40" w:name="co_footnote_B00052055372206_1"/>
      <w:bookmarkEnd w:id="40"/>
      <w:tr w:rsidR="001855D2" w14:paraId="7954A694" w14:textId="77777777">
        <w:tc>
          <w:tcPr>
            <w:tcW w:w="600" w:type="dxa"/>
            <w:tcBorders>
              <w:top w:val="nil"/>
              <w:left w:val="nil"/>
              <w:bottom w:val="nil"/>
              <w:right w:val="nil"/>
            </w:tcBorders>
          </w:tcPr>
          <w:p w14:paraId="37F2D19D" w14:textId="77777777" w:rsidR="001855D2" w:rsidRDefault="005A740A">
            <w:pPr>
              <w:widowControl w:val="0"/>
              <w:autoSpaceDE w:val="0"/>
              <w:autoSpaceDN w:val="0"/>
              <w:adjustRightInd w:val="0"/>
              <w:rPr>
                <w:rFonts w:ascii="sans-serif" w:hAnsi="sans-serif" w:cs="sans-serif"/>
                <w:color w:val="000000"/>
              </w:rPr>
            </w:pPr>
            <w:r>
              <w:rPr>
                <w:rFonts w:ascii="sans-serif" w:hAnsi="sans-serif" w:cs="sans-serif"/>
                <w:color w:val="000000"/>
              </w:rPr>
              <w:fldChar w:fldCharType="begin"/>
            </w:r>
            <w:r>
              <w:rPr>
                <w:rFonts w:ascii="sans-serif" w:hAnsi="sans-serif" w:cs="sans-serif"/>
                <w:color w:val="000000"/>
              </w:rPr>
              <w:instrText xml:space="preserve">HYPERLINK "#co_fnRef_B00052055372206_ID0EZIBI_1" </w:instrText>
            </w:r>
            <w:r>
              <w:rPr>
                <w:rFonts w:ascii="sans-serif" w:hAnsi="sans-serif" w:cs="sans-serif"/>
                <w:color w:val="000000"/>
              </w:rPr>
              <w:fldChar w:fldCharType="separate"/>
            </w:r>
            <w:r>
              <w:rPr>
                <w:rFonts w:ascii="sans-serif" w:hAnsi="sans-serif" w:cs="sans-serif"/>
                <w:color w:val="0E568C"/>
                <w:vertAlign w:val="superscript"/>
              </w:rPr>
              <w:t>5</w:t>
            </w:r>
            <w:r>
              <w:rPr>
                <w:rFonts w:ascii="sans-serif" w:hAnsi="sans-serif" w:cs="sans-serif"/>
                <w:color w:val="000000"/>
              </w:rPr>
              <w:fldChar w:fldCharType="end"/>
            </w:r>
          </w:p>
          <w:p w14:paraId="79604A0D" w14:textId="77777777" w:rsidR="001855D2" w:rsidRDefault="001855D2">
            <w:pPr>
              <w:widowControl w:val="0"/>
              <w:autoSpaceDE w:val="0"/>
              <w:autoSpaceDN w:val="0"/>
              <w:adjustRightInd w:val="0"/>
              <w:rPr>
                <w:rFonts w:ascii="sans-serif" w:hAnsi="sans-serif" w:cs="sans-serif"/>
                <w:color w:val="000000"/>
              </w:rPr>
            </w:pPr>
          </w:p>
        </w:tc>
        <w:tc>
          <w:tcPr>
            <w:tcW w:w="9480" w:type="dxa"/>
            <w:tcBorders>
              <w:top w:val="nil"/>
              <w:left w:val="nil"/>
              <w:bottom w:val="nil"/>
              <w:right w:val="nil"/>
            </w:tcBorders>
          </w:tcPr>
          <w:p w14:paraId="7E05C2A4" w14:textId="77777777" w:rsidR="001855D2" w:rsidRDefault="005A740A">
            <w:pPr>
              <w:widowControl w:val="0"/>
              <w:autoSpaceDE w:val="0"/>
              <w:autoSpaceDN w:val="0"/>
              <w:adjustRightInd w:val="0"/>
              <w:jc w:val="both"/>
              <w:rPr>
                <w:rFonts w:ascii="sans-serif" w:hAnsi="sans-serif" w:cs="sans-serif"/>
                <w:color w:val="000000"/>
                <w:sz w:val="18"/>
                <w:szCs w:val="18"/>
              </w:rPr>
            </w:pPr>
            <w:r>
              <w:rPr>
                <w:rFonts w:ascii="sans-serif" w:hAnsi="sans-serif" w:cs="sans-serif"/>
                <w:color w:val="000000"/>
                <w:sz w:val="18"/>
                <w:szCs w:val="18"/>
              </w:rPr>
              <w:t xml:space="preserve">Although they need not do so to prevail, Plaintiffs go a step further and explain why any apparent conflict between the Halbert and Forgacs studies can be addressed at the next phase of the ESA process. They point out that the Forgacs study merely concluded, in the words of the Service, that “spatial analysis of mitochondrial DNA did not detect geographic population subdivision.” Dkt. 25-2 at 424. Mitochondrial DNA is genetic material found in a cell’s mitochondria and is inherited from the maternal line. Dkt. 19 at 30; Dkt. 25-3 at 13. The Halbert study, in contrast, analyzed differences in nuclear DNA, which is genetic material found in a cell’s nucleus and inherited from both parents. Dkt. 19 at 30; Dkt. 25-3 at 13. Because mitochondrial DNA passes “from the female to her offspring with little or no variation,” according to Plaintiffs, one would expect to observe “less variation between subpopulations” in mitochondrial DNA than in nuclear DNA. Dkt. 19 at 30. And, indeed, the Forgacs study explains that the different results “could be due to differences in the structure and function of the genomic regions analyzed, the differences in mutation rates, and the sensitivities of the statistical tests used.” Dkt. 25-3 at 13. Notably, the Forgacs study concludes “that Yellowstone bison can be managed” for mitochondrial diversity “as a single population with multiple breeding segments,” but it also urges that “additional studies involving population structure and genetic diversity based on both [mitochondrial DNA] and nuclear genetic diversity assessments need to be conducted.” </w:t>
            </w:r>
            <w:r>
              <w:rPr>
                <w:rFonts w:ascii="sans-serif" w:hAnsi="sans-serif" w:cs="sans-serif"/>
                <w:i/>
                <w:iCs/>
                <w:color w:val="000000"/>
                <w:sz w:val="18"/>
                <w:szCs w:val="18"/>
              </w:rPr>
              <w:t>Id.</w:t>
            </w:r>
            <w:r>
              <w:rPr>
                <w:rFonts w:ascii="sans-serif" w:hAnsi="sans-serif" w:cs="sans-serif"/>
                <w:color w:val="000000"/>
                <w:sz w:val="18"/>
                <w:szCs w:val="18"/>
              </w:rPr>
              <w:t xml:space="preserve"> at 15. The question whether any dispute even exists, and, if so, which scientific team has the better of the argument, however, is for another forum and another day.</w:t>
            </w:r>
          </w:p>
          <w:p w14:paraId="3E08F966" w14:textId="77777777" w:rsidR="001855D2" w:rsidRDefault="001855D2">
            <w:pPr>
              <w:widowControl w:val="0"/>
              <w:autoSpaceDE w:val="0"/>
              <w:autoSpaceDN w:val="0"/>
              <w:adjustRightInd w:val="0"/>
              <w:jc w:val="both"/>
              <w:rPr>
                <w:rFonts w:ascii="sans-serif" w:hAnsi="sans-serif" w:cs="sans-serif"/>
                <w:color w:val="000000"/>
                <w:sz w:val="18"/>
                <w:szCs w:val="18"/>
              </w:rPr>
            </w:pPr>
          </w:p>
        </w:tc>
      </w:tr>
      <w:bookmarkStart w:id="41" w:name="co_footnote_B00062055372206_1"/>
      <w:bookmarkEnd w:id="41"/>
      <w:tr w:rsidR="001855D2" w14:paraId="27C29A14" w14:textId="77777777">
        <w:tc>
          <w:tcPr>
            <w:tcW w:w="600" w:type="dxa"/>
            <w:tcBorders>
              <w:top w:val="nil"/>
              <w:left w:val="nil"/>
              <w:bottom w:val="nil"/>
              <w:right w:val="nil"/>
            </w:tcBorders>
          </w:tcPr>
          <w:p w14:paraId="3F876484" w14:textId="77777777" w:rsidR="001855D2" w:rsidRDefault="005A740A">
            <w:pPr>
              <w:widowControl w:val="0"/>
              <w:autoSpaceDE w:val="0"/>
              <w:autoSpaceDN w:val="0"/>
              <w:adjustRightInd w:val="0"/>
              <w:rPr>
                <w:rFonts w:ascii="sans-serif" w:hAnsi="sans-serif" w:cs="sans-serif"/>
                <w:color w:val="000000"/>
              </w:rPr>
            </w:pPr>
            <w:r>
              <w:rPr>
                <w:rFonts w:ascii="sans-serif" w:hAnsi="sans-serif" w:cs="sans-serif"/>
                <w:color w:val="000000"/>
              </w:rPr>
              <w:fldChar w:fldCharType="begin"/>
            </w:r>
            <w:r>
              <w:rPr>
                <w:rFonts w:ascii="sans-serif" w:hAnsi="sans-serif" w:cs="sans-serif"/>
                <w:color w:val="000000"/>
              </w:rPr>
              <w:instrText xml:space="preserve">HYPERLINK "#co_fnRef_B00062055372206_ID0ED2BI_1" </w:instrText>
            </w:r>
            <w:r>
              <w:rPr>
                <w:rFonts w:ascii="sans-serif" w:hAnsi="sans-serif" w:cs="sans-serif"/>
                <w:color w:val="000000"/>
              </w:rPr>
              <w:fldChar w:fldCharType="separate"/>
            </w:r>
            <w:r>
              <w:rPr>
                <w:rFonts w:ascii="sans-serif" w:hAnsi="sans-serif" w:cs="sans-serif"/>
                <w:color w:val="0E568C"/>
                <w:vertAlign w:val="superscript"/>
              </w:rPr>
              <w:t>6</w:t>
            </w:r>
            <w:r>
              <w:rPr>
                <w:rFonts w:ascii="sans-serif" w:hAnsi="sans-serif" w:cs="sans-serif"/>
                <w:color w:val="000000"/>
              </w:rPr>
              <w:fldChar w:fldCharType="end"/>
            </w:r>
          </w:p>
          <w:p w14:paraId="4827F365" w14:textId="77777777" w:rsidR="001855D2" w:rsidRDefault="001855D2">
            <w:pPr>
              <w:widowControl w:val="0"/>
              <w:autoSpaceDE w:val="0"/>
              <w:autoSpaceDN w:val="0"/>
              <w:adjustRightInd w:val="0"/>
              <w:rPr>
                <w:rFonts w:ascii="sans-serif" w:hAnsi="sans-serif" w:cs="sans-serif"/>
                <w:color w:val="000000"/>
              </w:rPr>
            </w:pPr>
          </w:p>
        </w:tc>
        <w:tc>
          <w:tcPr>
            <w:tcW w:w="9480" w:type="dxa"/>
            <w:tcBorders>
              <w:top w:val="nil"/>
              <w:left w:val="nil"/>
              <w:bottom w:val="nil"/>
              <w:right w:val="nil"/>
            </w:tcBorders>
          </w:tcPr>
          <w:p w14:paraId="3FB1428F" w14:textId="77777777" w:rsidR="001855D2" w:rsidRDefault="005A740A">
            <w:pPr>
              <w:widowControl w:val="0"/>
              <w:autoSpaceDE w:val="0"/>
              <w:autoSpaceDN w:val="0"/>
              <w:adjustRightInd w:val="0"/>
              <w:jc w:val="both"/>
              <w:rPr>
                <w:rFonts w:ascii="sans-serif" w:hAnsi="sans-serif" w:cs="sans-serif"/>
                <w:color w:val="000000"/>
                <w:sz w:val="18"/>
                <w:szCs w:val="18"/>
              </w:rPr>
            </w:pPr>
            <w:r>
              <w:rPr>
                <w:rFonts w:ascii="sans-serif" w:hAnsi="sans-serif" w:cs="sans-serif"/>
                <w:color w:val="000000"/>
                <w:sz w:val="18"/>
                <w:szCs w:val="18"/>
              </w:rPr>
              <w:t xml:space="preserve">The Service further argues that Plaintiffs’ position suffers from “an internal inconsistency”—that is, Plaintiffs maintain that “there are ‘actually two genetically distinct subpopulations’ ” at the park, Dkt. 20-1 at 22 (quoting Dkt. 19 at 28), but argued in the 2014 petition that “ ‘the Yellowstone bison are a distinct population segment of plains bison and that listing of this species is warranted,’ ” </w:t>
            </w:r>
            <w:r>
              <w:rPr>
                <w:rFonts w:ascii="sans-serif" w:hAnsi="sans-serif" w:cs="sans-serif"/>
                <w:i/>
                <w:iCs/>
                <w:color w:val="000000"/>
                <w:sz w:val="18"/>
                <w:szCs w:val="18"/>
              </w:rPr>
              <w:t>id.</w:t>
            </w:r>
            <w:r>
              <w:rPr>
                <w:rFonts w:ascii="sans-serif" w:hAnsi="sans-serif" w:cs="sans-serif"/>
                <w:color w:val="000000"/>
                <w:sz w:val="18"/>
                <w:szCs w:val="18"/>
              </w:rPr>
              <w:t xml:space="preserve"> (quoting Dkt. 25 at 54). In response, Plaintiffs argue that “[a] DPS is a legal determination applying [the Service’s] policy that looks at more than the genetic differences between two populations of a species.” Dkt. 22 at 9. For present purposes, the Court need not resolve this dispute because the 2019 finding does not address the issue, </w:t>
            </w:r>
            <w:r>
              <w:rPr>
                <w:rFonts w:ascii="sans-serif" w:hAnsi="sans-serif" w:cs="sans-serif"/>
                <w:i/>
                <w:iCs/>
                <w:color w:val="000000"/>
                <w:sz w:val="18"/>
                <w:szCs w:val="18"/>
              </w:rPr>
              <w:t>see</w:t>
            </w:r>
            <w:r>
              <w:rPr>
                <w:rFonts w:ascii="sans-serif" w:hAnsi="sans-serif" w:cs="sans-serif"/>
                <w:color w:val="000000"/>
                <w:sz w:val="18"/>
                <w:szCs w:val="18"/>
              </w:rPr>
              <w:t xml:space="preserve"> </w:t>
            </w:r>
            <w:hyperlink r:id="rId126" w:anchor="co_pp_sp_780_196" w:history="1">
              <w:r>
                <w:rPr>
                  <w:rFonts w:ascii="sans-serif" w:hAnsi="sans-serif" w:cs="sans-serif"/>
                  <w:i/>
                  <w:iCs/>
                  <w:color w:val="0E568C"/>
                  <w:sz w:val="18"/>
                  <w:szCs w:val="18"/>
                </w:rPr>
                <w:t>Chenery</w:t>
              </w:r>
              <w:r>
                <w:rPr>
                  <w:rFonts w:ascii="sans-serif" w:hAnsi="sans-serif" w:cs="sans-serif"/>
                  <w:color w:val="0E568C"/>
                  <w:sz w:val="18"/>
                  <w:szCs w:val="18"/>
                </w:rPr>
                <w:t>, 332 U.S. at 196</w:t>
              </w:r>
            </w:hyperlink>
            <w:r>
              <w:rPr>
                <w:rFonts w:ascii="sans-serif" w:hAnsi="sans-serif" w:cs="sans-serif"/>
                <w:color w:val="000000"/>
                <w:sz w:val="18"/>
                <w:szCs w:val="18"/>
              </w:rPr>
              <w:t>, and, indeed, appears to embrace the premise that “genetic diversity within” the Yellowstone bison population is an important factor affecting the species’ continued existence, Dkt. 25-2 at 424. (The Court further notes that, even if the Western Watershed Project and Buffalo Field Campaign petition argued that the Yellowstone bison should be treated as a single DPS, the Horsley petition argued that the two herds should be listed as separate DPSs, Dkt. 25-1 at 16; Dkt. 20-1 at 15.)</w:t>
            </w:r>
          </w:p>
          <w:p w14:paraId="0E532BC3" w14:textId="77777777" w:rsidR="001855D2" w:rsidRDefault="001855D2">
            <w:pPr>
              <w:widowControl w:val="0"/>
              <w:autoSpaceDE w:val="0"/>
              <w:autoSpaceDN w:val="0"/>
              <w:adjustRightInd w:val="0"/>
              <w:jc w:val="both"/>
              <w:rPr>
                <w:rFonts w:ascii="sans-serif" w:hAnsi="sans-serif" w:cs="sans-serif"/>
                <w:color w:val="000000"/>
                <w:sz w:val="18"/>
                <w:szCs w:val="18"/>
              </w:rPr>
            </w:pPr>
          </w:p>
        </w:tc>
      </w:tr>
    </w:tbl>
    <w:p w14:paraId="6F9DBA9E" w14:textId="77777777" w:rsidR="001855D2" w:rsidRDefault="001855D2">
      <w:pPr>
        <w:widowControl w:val="0"/>
        <w:autoSpaceDE w:val="0"/>
        <w:autoSpaceDN w:val="0"/>
        <w:adjustRightInd w:val="0"/>
        <w:rPr>
          <w:rFonts w:ascii="Arial" w:hAnsi="Arial" w:cs="Arial"/>
        </w:rPr>
      </w:pPr>
    </w:p>
    <w:p w14:paraId="110D38EF" w14:textId="77777777" w:rsidR="001855D2" w:rsidRDefault="001855D2">
      <w:pPr>
        <w:widowControl w:val="0"/>
        <w:autoSpaceDE w:val="0"/>
        <w:autoSpaceDN w:val="0"/>
        <w:adjustRightInd w:val="0"/>
        <w:rPr>
          <w:rFonts w:ascii="Times New Roman" w:hAnsi="Times New Roman" w:cs="Times New Roman"/>
          <w:color w:val="000000"/>
        </w:rPr>
      </w:pPr>
    </w:p>
    <w:p w14:paraId="434DF447" w14:textId="77777777" w:rsidR="001855D2" w:rsidRDefault="001855D2">
      <w:pPr>
        <w:widowControl w:val="0"/>
        <w:autoSpaceDE w:val="0"/>
        <w:autoSpaceDN w:val="0"/>
        <w:adjustRightInd w:val="0"/>
        <w:rPr>
          <w:rFonts w:ascii="Arial" w:hAnsi="Arial" w:cs="Arial"/>
        </w:rPr>
        <w:sectPr w:rsidR="001855D2">
          <w:type w:val="continuous"/>
          <w:pgSz w:w="12240" w:h="15840"/>
          <w:pgMar w:top="1080" w:right="1080" w:bottom="1080" w:left="1080" w:header="720" w:footer="720" w:gutter="0"/>
          <w:cols w:space="720"/>
          <w:noEndnote/>
        </w:sectPr>
      </w:pPr>
    </w:p>
    <w:p w14:paraId="20A11E43" w14:textId="77777777" w:rsidR="001855D2" w:rsidRDefault="001855D2">
      <w:pPr>
        <w:widowControl w:val="0"/>
        <w:autoSpaceDE w:val="0"/>
        <w:autoSpaceDN w:val="0"/>
        <w:adjustRightInd w:val="0"/>
        <w:rPr>
          <w:rFonts w:ascii="sans-serif" w:hAnsi="sans-serif" w:cs="sans-serif"/>
          <w:color w:val="000000"/>
        </w:rPr>
      </w:pPr>
    </w:p>
    <w:p w14:paraId="6012BB57" w14:textId="77777777" w:rsidR="001855D2" w:rsidRDefault="001855D2">
      <w:pPr>
        <w:widowControl w:val="0"/>
        <w:autoSpaceDE w:val="0"/>
        <w:autoSpaceDN w:val="0"/>
        <w:adjustRightInd w:val="0"/>
        <w:rPr>
          <w:rFonts w:ascii="Arial" w:hAnsi="Arial" w:cs="Arial"/>
        </w:rPr>
        <w:sectPr w:rsidR="001855D2">
          <w:type w:val="continuous"/>
          <w:pgSz w:w="12240" w:h="15840"/>
          <w:pgMar w:top="1080" w:right="1080" w:bottom="1080" w:left="1080" w:header="720" w:footer="720" w:gutter="0"/>
          <w:cols w:num="2" w:space="720"/>
          <w:noEndnote/>
        </w:sectPr>
      </w:pPr>
    </w:p>
    <w:tbl>
      <w:tblPr>
        <w:tblW w:w="0" w:type="auto"/>
        <w:tblInd w:w="24" w:type="dxa"/>
        <w:tblLayout w:type="fixed"/>
        <w:tblCellMar>
          <w:left w:w="0" w:type="dxa"/>
          <w:right w:w="0" w:type="dxa"/>
        </w:tblCellMar>
        <w:tblLook w:val="0000" w:firstRow="0" w:lastRow="0" w:firstColumn="0" w:lastColumn="0" w:noHBand="0" w:noVBand="0"/>
      </w:tblPr>
      <w:tblGrid>
        <w:gridCol w:w="4320"/>
        <w:gridCol w:w="5760"/>
      </w:tblGrid>
      <w:tr w:rsidR="001855D2" w14:paraId="35672A1E" w14:textId="77777777">
        <w:tc>
          <w:tcPr>
            <w:tcW w:w="4320" w:type="dxa"/>
            <w:tcBorders>
              <w:top w:val="single" w:sz="4" w:space="0" w:color="777777"/>
              <w:left w:val="nil"/>
              <w:bottom w:val="nil"/>
              <w:right w:val="nil"/>
            </w:tcBorders>
            <w:tcMar>
              <w:top w:w="100" w:type="dxa"/>
              <w:left w:w="24" w:type="dxa"/>
              <w:right w:w="24" w:type="dxa"/>
            </w:tcMar>
          </w:tcPr>
          <w:p w14:paraId="49A9F1FD" w14:textId="77777777" w:rsidR="001855D2" w:rsidRDefault="005A740A">
            <w:pPr>
              <w:widowControl w:val="0"/>
              <w:autoSpaceDE w:val="0"/>
              <w:autoSpaceDN w:val="0"/>
              <w:adjustRightInd w:val="0"/>
              <w:ind w:left="24" w:right="24"/>
              <w:rPr>
                <w:rFonts w:ascii="sans-serif" w:hAnsi="sans-serif" w:cs="sans-serif"/>
                <w:b/>
                <w:bCs/>
                <w:color w:val="777777"/>
                <w:sz w:val="16"/>
                <w:szCs w:val="16"/>
              </w:rPr>
            </w:pPr>
            <w:r>
              <w:rPr>
                <w:rFonts w:ascii="sans-serif" w:hAnsi="sans-serif" w:cs="sans-serif"/>
                <w:b/>
                <w:bCs/>
                <w:color w:val="777777"/>
                <w:sz w:val="16"/>
                <w:szCs w:val="16"/>
              </w:rPr>
              <w:t>End of Document</w:t>
            </w:r>
          </w:p>
          <w:p w14:paraId="17B55AA4" w14:textId="77777777" w:rsidR="001855D2" w:rsidRDefault="001855D2">
            <w:pPr>
              <w:widowControl w:val="0"/>
              <w:autoSpaceDE w:val="0"/>
              <w:autoSpaceDN w:val="0"/>
              <w:adjustRightInd w:val="0"/>
              <w:ind w:left="24" w:right="24"/>
              <w:rPr>
                <w:rFonts w:ascii="sans-serif" w:hAnsi="sans-serif" w:cs="sans-serif"/>
                <w:b/>
                <w:bCs/>
                <w:color w:val="777777"/>
                <w:sz w:val="16"/>
                <w:szCs w:val="16"/>
              </w:rPr>
            </w:pPr>
          </w:p>
        </w:tc>
        <w:tc>
          <w:tcPr>
            <w:tcW w:w="5760" w:type="dxa"/>
            <w:tcBorders>
              <w:top w:val="single" w:sz="4" w:space="0" w:color="777777"/>
              <w:left w:val="nil"/>
              <w:bottom w:val="nil"/>
              <w:right w:val="nil"/>
            </w:tcBorders>
            <w:tcMar>
              <w:top w:w="100" w:type="dxa"/>
              <w:left w:w="29" w:type="dxa"/>
              <w:right w:w="29" w:type="dxa"/>
            </w:tcMar>
          </w:tcPr>
          <w:p w14:paraId="2363165A" w14:textId="77777777" w:rsidR="001855D2" w:rsidRDefault="005A740A">
            <w:pPr>
              <w:widowControl w:val="0"/>
              <w:autoSpaceDE w:val="0"/>
              <w:autoSpaceDN w:val="0"/>
              <w:adjustRightInd w:val="0"/>
              <w:ind w:left="29" w:right="29"/>
              <w:jc w:val="right"/>
              <w:rPr>
                <w:rFonts w:ascii="sans-serif" w:hAnsi="sans-serif" w:cs="sans-serif"/>
                <w:color w:val="777777"/>
                <w:sz w:val="19"/>
                <w:szCs w:val="19"/>
              </w:rPr>
            </w:pPr>
            <w:r>
              <w:rPr>
                <w:rFonts w:ascii="sans-serif" w:hAnsi="sans-serif" w:cs="sans-serif"/>
                <w:color w:val="777777"/>
                <w:sz w:val="19"/>
                <w:szCs w:val="19"/>
              </w:rPr>
              <w:t>© 2022 Thomson Reuters. No claim to original U.S. Government Works.</w:t>
            </w:r>
          </w:p>
          <w:p w14:paraId="2B5D4D31" w14:textId="77777777" w:rsidR="001855D2" w:rsidRDefault="001855D2">
            <w:pPr>
              <w:widowControl w:val="0"/>
              <w:autoSpaceDE w:val="0"/>
              <w:autoSpaceDN w:val="0"/>
              <w:adjustRightInd w:val="0"/>
              <w:ind w:left="29" w:right="29"/>
              <w:jc w:val="right"/>
              <w:rPr>
                <w:rFonts w:ascii="sans-serif" w:hAnsi="sans-serif" w:cs="sans-serif"/>
                <w:color w:val="777777"/>
                <w:sz w:val="19"/>
                <w:szCs w:val="19"/>
              </w:rPr>
            </w:pPr>
          </w:p>
        </w:tc>
      </w:tr>
    </w:tbl>
    <w:p w14:paraId="51C78828" w14:textId="77777777" w:rsidR="001855D2" w:rsidRDefault="001855D2">
      <w:pPr>
        <w:widowControl w:val="0"/>
        <w:autoSpaceDE w:val="0"/>
        <w:autoSpaceDN w:val="0"/>
        <w:adjustRightInd w:val="0"/>
        <w:rPr>
          <w:rFonts w:ascii="Arial" w:hAnsi="Arial" w:cs="Arial"/>
        </w:rPr>
      </w:pPr>
    </w:p>
    <w:p w14:paraId="6EBF3667" w14:textId="77777777" w:rsidR="001855D2" w:rsidRDefault="001855D2">
      <w:pPr>
        <w:widowControl w:val="0"/>
        <w:autoSpaceDE w:val="0"/>
        <w:autoSpaceDN w:val="0"/>
        <w:adjustRightInd w:val="0"/>
        <w:rPr>
          <w:rFonts w:ascii="Times New Roman" w:hAnsi="Times New Roman" w:cs="Times New Roman"/>
          <w:color w:val="000000"/>
        </w:rPr>
      </w:pPr>
    </w:p>
    <w:p w14:paraId="3896FF62" w14:textId="77777777" w:rsidR="001855D2" w:rsidRDefault="001855D2">
      <w:pPr>
        <w:widowControl w:val="0"/>
        <w:autoSpaceDE w:val="0"/>
        <w:autoSpaceDN w:val="0"/>
        <w:adjustRightInd w:val="0"/>
        <w:rPr>
          <w:rFonts w:ascii="Arial" w:hAnsi="Arial" w:cs="Arial"/>
        </w:rPr>
        <w:sectPr w:rsidR="001855D2">
          <w:type w:val="continuous"/>
          <w:pgSz w:w="12240" w:h="15840"/>
          <w:pgMar w:top="1080" w:right="1080" w:bottom="1080" w:left="1080" w:header="720" w:footer="720" w:gutter="0"/>
          <w:cols w:space="720"/>
          <w:noEndnote/>
        </w:sectPr>
      </w:pPr>
    </w:p>
    <w:p w14:paraId="13D03715" w14:textId="77777777" w:rsidR="005A740A" w:rsidRDefault="005A740A">
      <w:pPr>
        <w:widowControl w:val="0"/>
        <w:autoSpaceDE w:val="0"/>
        <w:autoSpaceDN w:val="0"/>
        <w:adjustRightInd w:val="0"/>
        <w:rPr>
          <w:rFonts w:ascii="Arial" w:hAnsi="Arial" w:cs="Arial"/>
        </w:rPr>
      </w:pPr>
    </w:p>
    <w:sectPr w:rsidR="005A740A">
      <w:type w:val="continuous"/>
      <w:pgSz w:w="12240" w:h="15840"/>
      <w:pgMar w:top="1080" w:right="1080" w:bottom="1080" w:left="108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BC2CC" w14:textId="77777777" w:rsidR="00C250BB" w:rsidRDefault="00C250BB">
      <w:r>
        <w:separator/>
      </w:r>
    </w:p>
  </w:endnote>
  <w:endnote w:type="continuationSeparator" w:id="0">
    <w:p w14:paraId="29300332" w14:textId="77777777" w:rsidR="00C250BB" w:rsidRDefault="00C2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300"/>
      <w:gridCol w:w="700"/>
    </w:tblGrid>
    <w:tr w:rsidR="001855D2" w14:paraId="3B7ECBEE" w14:textId="77777777">
      <w:tc>
        <w:tcPr>
          <w:tcW w:w="9300" w:type="dxa"/>
          <w:tcBorders>
            <w:top w:val="single" w:sz="8" w:space="0" w:color="AAAAAA"/>
            <w:left w:val="nil"/>
            <w:bottom w:val="nil"/>
            <w:right w:val="nil"/>
          </w:tcBorders>
          <w:tcMar>
            <w:top w:w="60" w:type="dxa"/>
          </w:tcMar>
          <w:vAlign w:val="bottom"/>
        </w:tcPr>
        <w:p w14:paraId="45758969" w14:textId="77777777" w:rsidR="001855D2" w:rsidRDefault="008E117F">
          <w:pPr>
            <w:widowControl w:val="0"/>
            <w:autoSpaceDE w:val="0"/>
            <w:autoSpaceDN w:val="0"/>
            <w:adjustRightInd w:val="0"/>
            <w:rPr>
              <w:rFonts w:ascii="Arial" w:hAnsi="Arial" w:cs="Arial"/>
              <w:color w:val="AAAAAA"/>
              <w:sz w:val="20"/>
              <w:szCs w:val="20"/>
            </w:rPr>
          </w:pPr>
          <w:r>
            <w:rPr>
              <w:rFonts w:ascii="Arial" w:hAnsi="Arial" w:cs="Arial"/>
              <w:noProof/>
              <w:color w:val="AAAAAA"/>
              <w:sz w:val="20"/>
              <w:szCs w:val="20"/>
            </w:rPr>
            <w:drawing>
              <wp:inline distT="0" distB="0" distL="0" distR="0" wp14:anchorId="035365B7" wp14:editId="3171CB30">
                <wp:extent cx="749300" cy="101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101600"/>
                        </a:xfrm>
                        <a:prstGeom prst="rect">
                          <a:avLst/>
                        </a:prstGeom>
                        <a:noFill/>
                        <a:ln>
                          <a:noFill/>
                        </a:ln>
                      </pic:spPr>
                    </pic:pic>
                  </a:graphicData>
                </a:graphic>
              </wp:inline>
            </w:drawing>
          </w:r>
          <w:r w:rsidR="005A740A">
            <w:rPr>
              <w:rFonts w:ascii="Arial" w:hAnsi="Arial" w:cs="Arial"/>
              <w:color w:val="AAAAAA"/>
              <w:sz w:val="20"/>
              <w:szCs w:val="20"/>
            </w:rPr>
            <w:t xml:space="preserve"> © 2022 Thomson Reuters. No claim to original U.S. Government Works.</w:t>
          </w:r>
        </w:p>
      </w:tc>
      <w:tc>
        <w:tcPr>
          <w:tcW w:w="700" w:type="dxa"/>
          <w:tcBorders>
            <w:top w:val="single" w:sz="8" w:space="0" w:color="AAAAAA"/>
            <w:left w:val="nil"/>
            <w:bottom w:val="nil"/>
            <w:right w:val="nil"/>
          </w:tcBorders>
          <w:tcMar>
            <w:top w:w="60" w:type="dxa"/>
          </w:tcMar>
        </w:tcPr>
        <w:p w14:paraId="49256ACB" w14:textId="77777777" w:rsidR="001855D2" w:rsidRDefault="005A740A">
          <w:pPr>
            <w:widowControl w:val="0"/>
            <w:autoSpaceDE w:val="0"/>
            <w:autoSpaceDN w:val="0"/>
            <w:adjustRightInd w:val="0"/>
            <w:jc w:val="right"/>
            <w:rPr>
              <w:rFonts w:ascii="Arial" w:hAnsi="Arial" w:cs="Arial"/>
              <w:color w:val="AAAAAA"/>
              <w:sz w:val="20"/>
              <w:szCs w:val="20"/>
            </w:rPr>
          </w:pPr>
          <w:r>
            <w:rPr>
              <w:rFonts w:ascii="Arial" w:hAnsi="Arial" w:cs="Arial"/>
              <w:color w:val="AAAAAA"/>
              <w:sz w:val="20"/>
              <w:szCs w:val="20"/>
            </w:rPr>
            <w:pgNum/>
          </w:r>
        </w:p>
      </w:tc>
    </w:tr>
  </w:tbl>
  <w:p w14:paraId="0A624FAB" w14:textId="77777777" w:rsidR="001855D2" w:rsidRDefault="001855D2">
    <w:pPr>
      <w:widowControl w:val="0"/>
      <w:autoSpaceDE w:val="0"/>
      <w:autoSpaceDN w:val="0"/>
      <w:adjustRightInd w:val="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29E2" w14:textId="77777777" w:rsidR="00C250BB" w:rsidRDefault="00C250BB">
      <w:r>
        <w:separator/>
      </w:r>
    </w:p>
  </w:footnote>
  <w:footnote w:type="continuationSeparator" w:id="0">
    <w:p w14:paraId="19F9A7B2" w14:textId="77777777" w:rsidR="00C250BB" w:rsidRDefault="00C2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380"/>
      <w:gridCol w:w="700"/>
    </w:tblGrid>
    <w:tr w:rsidR="001855D2" w14:paraId="3C8F2DBC" w14:textId="77777777">
      <w:tc>
        <w:tcPr>
          <w:tcW w:w="9380" w:type="dxa"/>
          <w:tcBorders>
            <w:top w:val="nil"/>
            <w:left w:val="nil"/>
            <w:bottom w:val="single" w:sz="8" w:space="0" w:color="AAAAAA"/>
            <w:right w:val="nil"/>
          </w:tcBorders>
          <w:tcMar>
            <w:top w:w="400" w:type="dxa"/>
            <w:bottom w:w="60" w:type="dxa"/>
          </w:tcMar>
          <w:vAlign w:val="bottom"/>
        </w:tcPr>
        <w:p w14:paraId="3FAD8B5C" w14:textId="77777777" w:rsidR="001855D2" w:rsidRDefault="005A740A">
          <w:pPr>
            <w:widowControl w:val="0"/>
            <w:autoSpaceDE w:val="0"/>
            <w:autoSpaceDN w:val="0"/>
            <w:adjustRightInd w:val="0"/>
            <w:rPr>
              <w:rFonts w:ascii="Arial" w:hAnsi="Arial" w:cs="Arial"/>
              <w:color w:val="000000"/>
              <w:sz w:val="18"/>
              <w:szCs w:val="18"/>
            </w:rPr>
          </w:pPr>
          <w:r>
            <w:rPr>
              <w:rFonts w:ascii="Arial" w:hAnsi="Arial" w:cs="Arial"/>
              <w:b/>
              <w:bCs/>
              <w:color w:val="555555"/>
              <w:sz w:val="18"/>
              <w:szCs w:val="18"/>
            </w:rPr>
            <w:t>Buffalo Field Campaign v. Williams, Slip Copy (2022)</w:t>
          </w:r>
        </w:p>
      </w:tc>
      <w:tc>
        <w:tcPr>
          <w:tcW w:w="700" w:type="dxa"/>
          <w:tcBorders>
            <w:top w:val="nil"/>
            <w:left w:val="nil"/>
            <w:bottom w:val="single" w:sz="8" w:space="0" w:color="AAAAAA"/>
            <w:right w:val="nil"/>
          </w:tcBorders>
          <w:tcMar>
            <w:top w:w="400" w:type="dxa"/>
            <w:bottom w:w="60" w:type="dxa"/>
          </w:tcMar>
        </w:tcPr>
        <w:p w14:paraId="7FC8270E" w14:textId="77777777" w:rsidR="001855D2" w:rsidRDefault="001855D2">
          <w:pPr>
            <w:widowControl w:val="0"/>
            <w:autoSpaceDE w:val="0"/>
            <w:autoSpaceDN w:val="0"/>
            <w:adjustRightInd w:val="0"/>
            <w:jc w:val="right"/>
            <w:rPr>
              <w:rFonts w:ascii="Arial" w:hAnsi="Arial" w:cs="Arial"/>
              <w:color w:val="000000"/>
              <w:sz w:val="18"/>
              <w:szCs w:val="18"/>
            </w:rPr>
          </w:pPr>
        </w:p>
      </w:tc>
    </w:tr>
    <w:tr w:rsidR="001855D2" w14:paraId="642D0BA0" w14:textId="77777777">
      <w:tc>
        <w:tcPr>
          <w:tcW w:w="10080" w:type="dxa"/>
          <w:gridSpan w:val="2"/>
          <w:tcBorders>
            <w:top w:val="nil"/>
            <w:left w:val="nil"/>
            <w:bottom w:val="nil"/>
            <w:right w:val="nil"/>
          </w:tcBorders>
        </w:tcPr>
        <w:p w14:paraId="5BDA63A1" w14:textId="77777777" w:rsidR="001855D2" w:rsidRDefault="001855D2">
          <w:pPr>
            <w:widowControl w:val="0"/>
            <w:autoSpaceDE w:val="0"/>
            <w:autoSpaceDN w:val="0"/>
            <w:adjustRightInd w:val="0"/>
            <w:rPr>
              <w:rFonts w:ascii="Arial" w:hAnsi="Arial" w:cs="Arial"/>
              <w:color w:val="000000"/>
              <w:sz w:val="18"/>
              <w:szCs w:val="18"/>
            </w:rPr>
          </w:pPr>
        </w:p>
      </w:tc>
    </w:tr>
  </w:tbl>
  <w:p w14:paraId="2F23E7CC" w14:textId="77777777" w:rsidR="001855D2" w:rsidRDefault="001855D2">
    <w:pPr>
      <w:widowControl w:val="0"/>
      <w:autoSpaceDE w:val="0"/>
      <w:autoSpaceDN w:val="0"/>
      <w:adjustRightInd w:val="0"/>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7F"/>
    <w:rsid w:val="001855D2"/>
    <w:rsid w:val="005A47B8"/>
    <w:rsid w:val="005A740A"/>
    <w:rsid w:val="008E117F"/>
    <w:rsid w:val="00C250BB"/>
    <w:rsid w:val="00D7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413BBA9"/>
  <w14:defaultImageDpi w14:val="0"/>
  <w15:docId w15:val="{9E43D564-A99A-5F4A-B6C9-B13C32C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117"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21"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42" Type="http://schemas.openxmlformats.org/officeDocument/2006/relationships/hyperlink" Target="http://www.westlaw.com/Link/Document/FullText?findType=Y&amp;serNum=2026387371&amp;pubNum=0004637&amp;originatingDoc=I06415e10744711ec80a0dd05b5817251&amp;refType=RP&amp;fi=co_pp_sp_4637_280&amp;originationContext=document&amp;vr=3.0&amp;rs=cblt1.0&amp;transitionType=DocumentItem&amp;contextData=(sc.Search)" TargetMode="External"/><Relationship Id="rId47" Type="http://schemas.openxmlformats.org/officeDocument/2006/relationships/hyperlink" Target="http://www.westlaw.com/Link/Document/FullText?findType=Y&amp;serNum=1983126351&amp;pubNum=0000780&amp;originatingDoc=I06415e10744711ec80a0dd05b5817251&amp;refType=RP&amp;fi=co_pp_sp_780_103&amp;originationContext=document&amp;vr=3.0&amp;rs=cblt1.0&amp;transitionType=DocumentItem&amp;contextData=(sc.Search)" TargetMode="External"/><Relationship Id="rId63" Type="http://schemas.openxmlformats.org/officeDocument/2006/relationships/hyperlink" Target="http://www.westlaw.com/Link/Document/FullText?findType=Y&amp;serNum=1992106162&amp;pubNum=0000780&amp;originatingDoc=I06415e10744711ec80a0dd05b5817251&amp;refType=RP&amp;fi=co_pp_sp_780_572&amp;originationContext=document&amp;vr=3.0&amp;rs=cblt1.0&amp;transitionType=DocumentItem&amp;contextData=(sc.Search)" TargetMode="External"/><Relationship Id="rId68" Type="http://schemas.openxmlformats.org/officeDocument/2006/relationships/hyperlink" Target="http://www.westlaw.com/Link/Document/FullText?findType=L&amp;pubNum=1000547&amp;cite=50CFRS424.14&amp;originatingDoc=I06415e10744711ec80a0dd05b5817251&amp;refType=RB&amp;originationContext=document&amp;vr=3.0&amp;rs=cblt1.0&amp;transitionType=DocumentItem&amp;contextData=(sc.Search)" TargetMode="External"/><Relationship Id="rId84"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89"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112" Type="http://schemas.openxmlformats.org/officeDocument/2006/relationships/hyperlink" Target="http://www.westlaw.com/Link/Document/FullText?findType=Y&amp;serNum=2018184007&amp;pubNum=0000999&amp;originatingDoc=I06415e10744711ec80a0dd05b5817251&amp;refType=RP&amp;fi=co_pp_sp_999_2&amp;originationContext=document&amp;vr=3.0&amp;rs=cblt1.0&amp;transitionType=DocumentItem&amp;contextData=(sc.Search)" TargetMode="External"/><Relationship Id="rId16" Type="http://schemas.openxmlformats.org/officeDocument/2006/relationships/hyperlink" Target="http://www.westlaw.com/Link/Document/FullText?findType=Y&amp;serNum=2029964737&amp;pubNum=0000506&amp;originatingDoc=I06415e10744711ec80a0dd05b5817251&amp;refType=RP&amp;fi=co_pp_sp_506_3&amp;originationContext=document&amp;vr=3.0&amp;rs=cblt1.0&amp;transitionType=DocumentItem&amp;contextData=(sc.Search)" TargetMode="External"/><Relationship Id="rId107" Type="http://schemas.openxmlformats.org/officeDocument/2006/relationships/hyperlink" Target="http://www.westlaw.com/Link/Document/FullText?findType=Y&amp;serNum=1974138440&amp;pubNum=0000780&amp;originatingDoc=I06415e10744711ec80a0dd05b5817251&amp;refType=RP&amp;fi=co_pp_sp_780_286&amp;originationContext=document&amp;vr=3.0&amp;rs=cblt1.0&amp;transitionType=DocumentItem&amp;contextData=(sc.Search)" TargetMode="External"/><Relationship Id="rId11" Type="http://schemas.openxmlformats.org/officeDocument/2006/relationships/hyperlink" Target="http://www.westlaw.com/Link/Document/FullText?findType=Y&amp;serNum=2043717331&amp;pubNum=0007903&amp;originatingDoc=I06415e10744711ec80a0dd05b5817251&amp;refType=RP&amp;fi=co_pp_sp_7903_109&amp;originationContext=document&amp;vr=3.0&amp;rs=cblt1.0&amp;transitionType=DocumentItem&amp;contextData=(sc.Search)" TargetMode="External"/><Relationship Id="rId32" Type="http://schemas.openxmlformats.org/officeDocument/2006/relationships/hyperlink" Target="http://www.westlaw.com/Link/Document/FullText?findType=Y&amp;serNum=2043717331&amp;pubNum=0007903&amp;originatingDoc=I06415e10744711ec80a0dd05b5817251&amp;refType=RP&amp;fi=co_pp_sp_7903_109&amp;originationContext=document&amp;vr=3.0&amp;rs=cblt1.0&amp;transitionType=DocumentItem&amp;contextData=(sc.Search)" TargetMode="External"/><Relationship Id="rId37" Type="http://schemas.openxmlformats.org/officeDocument/2006/relationships/hyperlink" Target="http://www.westlaw.com/Link/Document/FullText?findType=Y&amp;serNum=2043717331&amp;pubNum=0007903&amp;originatingDoc=I06415e10744711ec80a0dd05b5817251&amp;refType=RP&amp;fi=co_pp_sp_7903_111&amp;originationContext=document&amp;vr=3.0&amp;rs=cblt1.0&amp;transitionType=DocumentItem&amp;contextData=(sc.Search)" TargetMode="External"/><Relationship Id="rId53" Type="http://schemas.openxmlformats.org/officeDocument/2006/relationships/hyperlink" Target="http://www.westlaw.com/Link/Document/FullText?findType=Y&amp;serNum=2036862138&amp;pubNum=0000506&amp;originatingDoc=I06415e10744711ec80a0dd05b5817251&amp;refType=RP&amp;fi=co_pp_sp_506_1093&amp;originationContext=document&amp;vr=3.0&amp;rs=cblt1.0&amp;transitionType=DocumentItem&amp;contextData=(sc.Search)" TargetMode="External"/><Relationship Id="rId58" Type="http://schemas.openxmlformats.org/officeDocument/2006/relationships/hyperlink" Target="http://www.westlaw.com/Link/Document/FullText?findType=Y&amp;serNum=1992106162&amp;pubNum=0000780&amp;originatingDoc=I06415e10744711ec80a0dd05b5817251&amp;refType=RP&amp;fi=co_pp_sp_780_560&amp;originationContext=document&amp;vr=3.0&amp;rs=cblt1.0&amp;transitionType=DocumentItem&amp;contextData=(sc.Search)" TargetMode="External"/><Relationship Id="rId74" Type="http://schemas.openxmlformats.org/officeDocument/2006/relationships/hyperlink" Target="http://www.westlaw.com/Link/Document/FullText?findType=l&amp;pubNum=0001037&amp;cite=UUID(I59CFA6C0848011E68ACECFE0191B27BB)&amp;originatingDoc=I06415e10744711ec80a0dd05b5817251&amp;refType=CP&amp;fi=co_pp_sp_1037_66462&amp;originationContext=document&amp;vr=3.0&amp;rs=cblt1.0&amp;transitionType=DocumentItem&amp;contextData=(sc.Search)" TargetMode="External"/><Relationship Id="rId79" Type="http://schemas.openxmlformats.org/officeDocument/2006/relationships/hyperlink" Target="http://www.westlaw.com/Link/Document/FullText?findType=l&amp;pubNum=0001037&amp;cite=UUID(I59CFA6C0848011E68ACECFE0191B27BB)&amp;originatingDoc=I06415e10744711ec80a0dd05b5817251&amp;refType=CP&amp;fi=co_pp_sp_1037_66462&amp;originationContext=document&amp;vr=3.0&amp;rs=cblt1.0&amp;transitionType=DocumentItem&amp;contextData=(sc.Search)" TargetMode="External"/><Relationship Id="rId102" Type="http://schemas.openxmlformats.org/officeDocument/2006/relationships/hyperlink" Target="http://www.westlaw.com/Link/Document/FullText?findType=Y&amp;serNum=2051276726&amp;pubNum=0000708&amp;originatingDoc=I06415e10744711ec80a0dd05b5817251&amp;refType=RP&amp;fi=co_pp_sp_708_1913&amp;originationContext=document&amp;vr=3.0&amp;rs=cblt1.0&amp;transitionType=DocumentItem&amp;contextData=(sc.Search)" TargetMode="External"/><Relationship Id="rId123" Type="http://schemas.openxmlformats.org/officeDocument/2006/relationships/hyperlink" Target="http://www.westlaw.com/Link/Document/FullText?findType=L&amp;pubNum=1000600&amp;cite=USFRCPR25&amp;originatingDoc=I06415e10744711ec80a0dd05b5817251&amp;refType=LQ&amp;originationContext=document&amp;vr=3.0&amp;rs=cblt1.0&amp;transitionType=DocumentItem&amp;contextData=(sc.Search)" TargetMode="External"/><Relationship Id="rId128"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95"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22"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27" Type="http://schemas.openxmlformats.org/officeDocument/2006/relationships/hyperlink" Target="http://www.westlaw.com/Link/Document/FullText?findType=l&amp;pubNum=1077005&amp;cite=UUID(IAA4CB77010-3E11E6A3E4E-350243FAC8E)&amp;originatingDoc=I06415e10744711ec80a0dd05b5817251&amp;refType=SL&amp;originationContext=document&amp;vr=3.0&amp;rs=cblt1.0&amp;transitionType=DocumentItem&amp;contextData=(sc.Search)" TargetMode="External"/><Relationship Id="rId43" Type="http://schemas.openxmlformats.org/officeDocument/2006/relationships/hyperlink" Target="http://www.westlaw.com/Link/Document/FullText?findType=Y&amp;serNum=1971127022&amp;pubNum=0000780&amp;originatingDoc=I06415e10744711ec80a0dd05b5817251&amp;refType=RP&amp;fi=co_pp_sp_780_415&amp;originationContext=document&amp;vr=3.0&amp;rs=cblt1.0&amp;transitionType=DocumentItem&amp;contextData=(sc.Search)" TargetMode="External"/><Relationship Id="rId48" Type="http://schemas.openxmlformats.org/officeDocument/2006/relationships/hyperlink" Target="http://www.westlaw.com/Link/Document/FullText?findType=Y&amp;serNum=2004077504&amp;pubNum=0000780&amp;originatingDoc=I06415e10744711ec80a0dd05b5817251&amp;refType=RP&amp;fi=co_pp_sp_780_497&amp;originationContext=document&amp;vr=3.0&amp;rs=cblt1.0&amp;transitionType=DocumentItem&amp;contextData=(sc.Search)" TargetMode="External"/><Relationship Id="rId64"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69" Type="http://schemas.openxmlformats.org/officeDocument/2006/relationships/hyperlink" Target="http://www.westlaw.com/Link/Document/FullText?findType=Y&amp;serNum=2043717331&amp;pubNum=0007903&amp;originatingDoc=I06415e10744711ec80a0dd05b5817251&amp;refType=RP&amp;fi=co_pp_sp_7903_109&amp;originationContext=document&amp;vr=3.0&amp;rs=cblt1.0&amp;transitionType=DocumentItem&amp;contextData=(sc.Search)" TargetMode="External"/><Relationship Id="rId113" Type="http://schemas.openxmlformats.org/officeDocument/2006/relationships/hyperlink" Target="http://www.westlaw.com/Link/Document/FullText?findType=Y&amp;serNum=2005908763&amp;pubNum=0004637&amp;originatingDoc=I06415e10744711ec80a0dd05b5817251&amp;refType=RP&amp;fi=co_pp_sp_4637_1142&amp;originationContext=document&amp;vr=3.0&amp;rs=cblt1.0&amp;transitionType=DocumentItem&amp;contextData=(sc.Search)" TargetMode="External"/><Relationship Id="rId118" Type="http://schemas.openxmlformats.org/officeDocument/2006/relationships/hyperlink" Target="http://www.westlaw.com/Link/Document/FullText?findType=Y&amp;serNum=1995088498&amp;pubNum=0000506&amp;originatingDoc=I06415e10744711ec80a0dd05b5817251&amp;refType=RP&amp;fi=co_pp_sp_506_365&amp;originationContext=document&amp;vr=3.0&amp;rs=cblt1.0&amp;transitionType=DocumentItem&amp;contextData=(sc.Search)" TargetMode="External"/><Relationship Id="rId80" Type="http://schemas.openxmlformats.org/officeDocument/2006/relationships/hyperlink" Target="http://www.westlaw.com/Link/Document/FullText?findType=l&amp;pubNum=0001037&amp;cite=UUID(I59CFA6C0848011E68ACECFE0191B27BB)&amp;originatingDoc=I06415e10744711ec80a0dd05b5817251&amp;refType=CP&amp;fi=co_pp_sp_1037_66462&amp;originationContext=document&amp;vr=3.0&amp;rs=cblt1.0&amp;transitionType=DocumentItem&amp;contextData=(sc.Search)" TargetMode="External"/><Relationship Id="rId85" Type="http://schemas.openxmlformats.org/officeDocument/2006/relationships/hyperlink" Target="http://www.westlaw.com/Link/Document/FullText?findType=L&amp;pubNum=1000547&amp;cite=50CFRS424.14&amp;originatingDoc=I06415e10744711ec80a0dd05b5817251&amp;refType=RB&amp;originationContext=document&amp;vr=3.0&amp;rs=cblt1.0&amp;transitionType=DocumentItem&amp;contextData=(sc.Search)" TargetMode="External"/><Relationship Id="rId12" Type="http://schemas.openxmlformats.org/officeDocument/2006/relationships/hyperlink" Target="http://www.westlaw.com/Link/Document/FullText?findType=Y&amp;serNum=2043717331&amp;pubNum=0007903&amp;originatingDoc=I06415e10744711ec80a0dd05b5817251&amp;refType=RP&amp;fi=co_pp_sp_7903_112&amp;originationContext=document&amp;vr=3.0&amp;rs=cblt1.0&amp;transitionType=DocumentItem&amp;contextData=(sc.Search)" TargetMode="External"/><Relationship Id="rId17"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33" Type="http://schemas.openxmlformats.org/officeDocument/2006/relationships/hyperlink" Target="http://www.westlaw.com/Link/Document/FullText?findType=Y&amp;serNum=2011260344&amp;pubNum=0000999&amp;originatingDoc=I06415e10744711ec80a0dd05b5817251&amp;refType=RP&amp;fi=co_pp_sp_999_7&amp;originationContext=document&amp;vr=3.0&amp;rs=cblt1.0&amp;transitionType=DocumentItem&amp;contextData=(sc.Search)" TargetMode="External"/><Relationship Id="rId38"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59" Type="http://schemas.openxmlformats.org/officeDocument/2006/relationships/hyperlink" Target="http://www.westlaw.com/Link/Document/FullText?findType=Y&amp;serNum=1992106162&amp;pubNum=0000780&amp;originatingDoc=I06415e10744711ec80a0dd05b5817251&amp;refType=RP&amp;fi=co_pp_sp_780_561&amp;originationContext=document&amp;vr=3.0&amp;rs=cblt1.0&amp;transitionType=DocumentItem&amp;contextData=(sc.Search)" TargetMode="External"/><Relationship Id="rId103" Type="http://schemas.openxmlformats.org/officeDocument/2006/relationships/hyperlink" Target="http://www.westlaw.com/Link/Document/FullText?findType=Y&amp;serNum=2043717331&amp;pubNum=0007903&amp;originatingDoc=I06415e10744711ec80a0dd05b5817251&amp;refType=RP&amp;fi=co_pp_sp_7903_110&amp;originationContext=document&amp;vr=3.0&amp;rs=cblt1.0&amp;transitionType=DocumentItem&amp;contextData=(sc.Search)" TargetMode="External"/><Relationship Id="rId108" Type="http://schemas.openxmlformats.org/officeDocument/2006/relationships/hyperlink" Target="http://www.westlaw.com/Link/Document/FullText?findType=Y&amp;serNum=1947202069&amp;pubNum=0000780&amp;originatingDoc=I06415e10744711ec80a0dd05b5817251&amp;refType=RP&amp;fi=co_pp_sp_780_196&amp;originationContext=document&amp;vr=3.0&amp;rs=cblt1.0&amp;transitionType=DocumentItem&amp;contextData=(sc.Search)" TargetMode="External"/><Relationship Id="rId124" Type="http://schemas.openxmlformats.org/officeDocument/2006/relationships/hyperlink" Target="http://www.westlaw.com/Link/Document/FullText?findType=L&amp;pubNum=1000547&amp;cite=50CFRS424.14&amp;originatingDoc=I06415e10744711ec80a0dd05b5817251&amp;refType=RB&amp;originationContext=document&amp;vr=3.0&amp;rs=cblt1.0&amp;transitionType=DocumentItem&amp;contextData=(sc.Search)" TargetMode="External"/><Relationship Id="rId54" Type="http://schemas.openxmlformats.org/officeDocument/2006/relationships/hyperlink" Target="http://www.westlaw.com/Link/Document/FullText?findType=Y&amp;serNum=1977118827&amp;pubNum=0000780&amp;originatingDoc=I06415e10744711ec80a0dd05b5817251&amp;refType=RP&amp;fi=co_pp_sp_780_343&amp;originationContext=document&amp;vr=3.0&amp;rs=cblt1.0&amp;transitionType=DocumentItem&amp;contextData=(sc.Search)" TargetMode="External"/><Relationship Id="rId70" Type="http://schemas.openxmlformats.org/officeDocument/2006/relationships/hyperlink" Target="http://www.westlaw.com/Link/Document/FullText?findType=Y&amp;serNum=2011260344&amp;pubNum=0000999&amp;originatingDoc=I06415e10744711ec80a0dd05b5817251&amp;refType=RP&amp;fi=co_pp_sp_999_7&amp;originationContext=document&amp;vr=3.0&amp;rs=cblt1.0&amp;transitionType=DocumentItem&amp;contextData=(sc.Search)" TargetMode="External"/><Relationship Id="rId75" Type="http://schemas.openxmlformats.org/officeDocument/2006/relationships/hyperlink" Target="http://www.westlaw.com/Link/Document/FullText?findType=l&amp;pubNum=0001037&amp;cite=UUID(I59CFA6C0848011E68ACECFE0191B27BB)&amp;originatingDoc=I06415e10744711ec80a0dd05b5817251&amp;refType=CP&amp;fi=co_pp_sp_1037_66462&amp;originationContext=document&amp;vr=3.0&amp;rs=cblt1.0&amp;transitionType=DocumentItem&amp;contextData=(sc.Search)" TargetMode="External"/><Relationship Id="rId91" Type="http://schemas.openxmlformats.org/officeDocument/2006/relationships/hyperlink" Target="http://www.westlaw.com/Link/Document/FullText?findType=L&amp;pubNum=1000546&amp;cite=16USCAS90&amp;originatingDoc=I06415e10744711ec80a0dd05b5817251&amp;refType=LQ&amp;originationContext=document&amp;vr=3.0&amp;rs=cblt1.0&amp;transitionType=DocumentItem&amp;contextData=(sc.Search)" TargetMode="External"/><Relationship Id="rId96"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1" Type="http://schemas.openxmlformats.org/officeDocument/2006/relationships/styles" Target="styles.xml"/><Relationship Id="rId6" Type="http://schemas.openxmlformats.org/officeDocument/2006/relationships/header" Target="header1.xml"/><Relationship Id="rId23"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28" Type="http://schemas.openxmlformats.org/officeDocument/2006/relationships/hyperlink" Target="http://www.westlaw.com/Link/Document/FullText?entityType=disease&amp;entityId=Iac92857b475411db9765f9243f53508a&amp;originationContext=document&amp;transitionType=DocumentItem&amp;contextData=(sc.Default)&amp;vr=3.0&amp;rs=cblt1.0" TargetMode="External"/><Relationship Id="rId49" Type="http://schemas.openxmlformats.org/officeDocument/2006/relationships/hyperlink" Target="http://www.westlaw.com/Link/Document/FullText?findType=L&amp;pubNum=1000546&amp;cite=5USCAS706&amp;originatingDoc=I06415e10744711ec80a0dd05b5817251&amp;refType=RB&amp;originationContext=document&amp;vr=3.0&amp;rs=cblt1.0&amp;transitionType=DocumentItem&amp;contextData=(sc.Search)" TargetMode="External"/><Relationship Id="rId114" Type="http://schemas.openxmlformats.org/officeDocument/2006/relationships/hyperlink" Target="http://www.westlaw.com/Link/Document/FullText?findType=Y&amp;serNum=2043717331&amp;pubNum=0007903&amp;originatingDoc=I06415e10744711ec80a0dd05b5817251&amp;refType=RP&amp;fi=co_pp_sp_7903_110&amp;originationContext=document&amp;vr=3.0&amp;rs=cblt1.0&amp;transitionType=DocumentItem&amp;contextData=(sc.Search)" TargetMode="External"/><Relationship Id="rId119" Type="http://schemas.openxmlformats.org/officeDocument/2006/relationships/hyperlink" Target="http://www.westlaw.com/Link/Document/FullText?findType=Y&amp;serNum=2027427085&amp;pubNum=0000506&amp;originatingDoc=I06415e10744711ec80a0dd05b5817251&amp;refType=RP&amp;fi=co_pp_sp_506_861&amp;originationContext=document&amp;vr=3.0&amp;rs=cblt1.0&amp;transitionType=DocumentItem&amp;contextData=(sc.Search)" TargetMode="External"/><Relationship Id="rId44" Type="http://schemas.openxmlformats.org/officeDocument/2006/relationships/hyperlink" Target="http://www.westlaw.com/Link/Document/FullText?findType=Y&amp;serNum=1995101683&amp;pubNum=0000506&amp;originatingDoc=I06415e10744711ec80a0dd05b5817251&amp;refType=RP&amp;fi=co_pp_sp_506_1341&amp;originationContext=document&amp;vr=3.0&amp;rs=cblt1.0&amp;transitionType=DocumentItem&amp;contextData=(sc.Search)" TargetMode="External"/><Relationship Id="rId60" Type="http://schemas.openxmlformats.org/officeDocument/2006/relationships/hyperlink" Target="http://www.westlaw.com/Link/Document/FullText?findType=Y&amp;serNum=2006081089&amp;pubNum=0000506&amp;originatingDoc=I06415e10744711ec80a0dd05b5817251&amp;refType=RP&amp;fi=co_pp_sp_506_1157&amp;originationContext=document&amp;vr=3.0&amp;rs=cblt1.0&amp;transitionType=DocumentItem&amp;contextData=(sc.Search)" TargetMode="External"/><Relationship Id="rId65" Type="http://schemas.openxmlformats.org/officeDocument/2006/relationships/hyperlink" Target="http://www.westlaw.com/Link/Document/FullText?findType=Y&amp;serNum=2043717331&amp;pubNum=0007903&amp;originatingDoc=I06415e10744711ec80a0dd05b5817251&amp;refType=RP&amp;fi=co_pp_sp_7903_109&amp;originationContext=document&amp;vr=3.0&amp;rs=cblt1.0&amp;transitionType=DocumentItem&amp;contextData=(sc.Search)" TargetMode="External"/><Relationship Id="rId81" Type="http://schemas.openxmlformats.org/officeDocument/2006/relationships/hyperlink" Target="http://www.westlaw.com/Link/Document/FullText?findType=Y&amp;serNum=2043717331&amp;pubNum=0007903&amp;originatingDoc=I06415e10744711ec80a0dd05b5817251&amp;refType=RP&amp;fi=co_pp_sp_7903_110&amp;originationContext=document&amp;vr=3.0&amp;rs=cblt1.0&amp;transitionType=DocumentItem&amp;contextData=(sc.Search)" TargetMode="External"/><Relationship Id="rId86"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13" Type="http://schemas.openxmlformats.org/officeDocument/2006/relationships/hyperlink" Target="http://www.westlaw.com/Link/Document/FullText?findType=L&amp;pubNum=1000546&amp;cite=5USCAS706&amp;originatingDoc=I06415e10744711ec80a0dd05b5817251&amp;refType=LQ&amp;originationContext=document&amp;vr=3.0&amp;rs=cblt1.0&amp;transitionType=DocumentItem&amp;contextData=(sc.Search)" TargetMode="External"/><Relationship Id="rId18" Type="http://schemas.openxmlformats.org/officeDocument/2006/relationships/hyperlink" Target="http://www.westlaw.com/Link/Document/FullText?findType=L&amp;pubNum=1000547&amp;cite=50CFRS424.14&amp;originatingDoc=I06415e10744711ec80a0dd05b5817251&amp;refType=RB&amp;originationContext=document&amp;vr=3.0&amp;rs=cblt1.0&amp;transitionType=DocumentItem&amp;contextData=(sc.Search)" TargetMode="External"/><Relationship Id="rId39" Type="http://schemas.openxmlformats.org/officeDocument/2006/relationships/hyperlink" Target="http://www.westlaw.com/Link/Document/FullText?findType=L&amp;pubNum=1000600&amp;cite=USFRCPR56&amp;originatingDoc=I06415e10744711ec80a0dd05b5817251&amp;refType=LQ&amp;originationContext=document&amp;vr=3.0&amp;rs=cblt1.0&amp;transitionType=DocumentItem&amp;contextData=(sc.Search)" TargetMode="External"/><Relationship Id="rId109" Type="http://schemas.openxmlformats.org/officeDocument/2006/relationships/hyperlink" Target="http://www.westlaw.com/Link/Document/FullText?findType=Y&amp;serNum=2043717331&amp;pubNum=0007903&amp;originatingDoc=I06415e10744711ec80a0dd05b5817251&amp;refType=RP&amp;fi=co_pp_sp_7903_110&amp;originationContext=document&amp;vr=3.0&amp;rs=cblt1.0&amp;transitionType=DocumentItem&amp;contextData=(sc.Search)" TargetMode="External"/><Relationship Id="rId34" Type="http://schemas.openxmlformats.org/officeDocument/2006/relationships/hyperlink" Target="http://www.westlaw.com/Link/Document/FullText?findType=Y&amp;serNum=2011260344&amp;pubNum=0000999&amp;originatingDoc=I06415e10744711ec80a0dd05b5817251&amp;refType=RP&amp;fi=co_pp_sp_999_7&amp;originationContext=document&amp;vr=3.0&amp;rs=cblt1.0&amp;transitionType=DocumentItem&amp;contextData=(sc.Search)" TargetMode="External"/><Relationship Id="rId50" Type="http://schemas.openxmlformats.org/officeDocument/2006/relationships/hyperlink" Target="http://www.westlaw.com/Link/Document/FullText?findType=Y&amp;serNum=1983129661&amp;pubNum=0000780&amp;originatingDoc=I06415e10744711ec80a0dd05b5817251&amp;refType=RP&amp;fi=co_pp_sp_780_43&amp;originationContext=document&amp;vr=3.0&amp;rs=cblt1.0&amp;transitionType=DocumentItem&amp;contextData=(sc.Search)" TargetMode="External"/><Relationship Id="rId55" Type="http://schemas.openxmlformats.org/officeDocument/2006/relationships/hyperlink" Target="http://www.westlaw.com/Link/Document/FullText?findType=Y&amp;serNum=2041425656&amp;pubNum=0000506&amp;originatingDoc=I06415e10744711ec80a0dd05b5817251&amp;refType=RP&amp;fi=co_pp_sp_506_9&amp;originationContext=document&amp;vr=3.0&amp;rs=cblt1.0&amp;transitionType=DocumentItem&amp;contextData=(sc.Search)" TargetMode="External"/><Relationship Id="rId76" Type="http://schemas.openxmlformats.org/officeDocument/2006/relationships/hyperlink" Target="http://www.westlaw.com/Link/Document/FullText?findType=l&amp;pubNum=0001037&amp;cite=UUID(I59CFA6C0848011E68ACECFE0191B27BB)&amp;originatingDoc=I06415e10744711ec80a0dd05b5817251&amp;refType=CP&amp;fi=co_pp_sp_1037_66462&amp;originationContext=document&amp;vr=3.0&amp;rs=cblt1.0&amp;transitionType=DocumentItem&amp;contextData=(sc.Search)" TargetMode="External"/><Relationship Id="rId97"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104" Type="http://schemas.openxmlformats.org/officeDocument/2006/relationships/hyperlink" Target="http://www.westlaw.com/Link/Document/FullText?findType=Y&amp;serNum=1983129661&amp;pubNum=0000780&amp;originatingDoc=I06415e10744711ec80a0dd05b5817251&amp;refType=RP&amp;fi=co_pp_sp_780_50&amp;originationContext=document&amp;vr=3.0&amp;rs=cblt1.0&amp;transitionType=DocumentItem&amp;contextData=(sc.Search)" TargetMode="External"/><Relationship Id="rId120" Type="http://schemas.openxmlformats.org/officeDocument/2006/relationships/hyperlink" Target="http://www.westlaw.com/Link/Document/FullText?findType=Y&amp;serNum=1985114096&amp;pubNum=0000780&amp;originatingDoc=I06415e10744711ec80a0dd05b5817251&amp;refType=RP&amp;fi=co_pp_sp_780_744&amp;originationContext=document&amp;vr=3.0&amp;rs=cblt1.0&amp;transitionType=DocumentItem&amp;contextData=(sc.Search)" TargetMode="External"/><Relationship Id="rId125" Type="http://schemas.openxmlformats.org/officeDocument/2006/relationships/hyperlink" Target="http://www.westlaw.com/Link/Document/FullText?findType=l&amp;pubNum=0001037&amp;cite=UUID(I59CFA6C0848011E68ACECFE0191B27BB)&amp;originatingDoc=I06415e10744711ec80a0dd05b5817251&amp;refType=CP&amp;fi=co_pp_sp_1037_66462&amp;originationContext=document&amp;vr=3.0&amp;rs=cblt1.0&amp;transitionType=DocumentItem&amp;contextData=(sc.Search)" TargetMode="External"/><Relationship Id="rId7" Type="http://schemas.openxmlformats.org/officeDocument/2006/relationships/footer" Target="footer1.xml"/><Relationship Id="rId71" Type="http://schemas.openxmlformats.org/officeDocument/2006/relationships/hyperlink" Target="http://www.westlaw.com/Link/Document/FullText?findType=Y&amp;serNum=2043717331&amp;pubNum=0007903&amp;originatingDoc=I06415e10744711ec80a0dd05b5817251&amp;refType=RP&amp;fi=co_pp_sp_7903_110&amp;originationContext=document&amp;vr=3.0&amp;rs=cblt1.0&amp;transitionType=DocumentItem&amp;contextData=(sc.Search)" TargetMode="External"/><Relationship Id="rId92"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2" Type="http://schemas.openxmlformats.org/officeDocument/2006/relationships/settings" Target="settings.xml"/><Relationship Id="rId29" Type="http://schemas.openxmlformats.org/officeDocument/2006/relationships/hyperlink" Target="http://www.westlaw.com/Link/Document/FullText?findType=Y&amp;serNum=2043717331&amp;pubNum=0007903&amp;originatingDoc=I06415e10744711ec80a0dd05b5817251&amp;refType=RP&amp;fi=co_pp_sp_7903_107&amp;originationContext=document&amp;vr=3.0&amp;rs=cblt1.0&amp;transitionType=DocumentItem&amp;contextData=(sc.Search)" TargetMode="External"/><Relationship Id="rId24"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40" Type="http://schemas.openxmlformats.org/officeDocument/2006/relationships/hyperlink" Target="http://www.westlaw.com/Link/Document/FullText?findType=L&amp;pubNum=1000600&amp;cite=USFRCPR56&amp;originatingDoc=I06415e10744711ec80a0dd05b5817251&amp;refType=LQ&amp;originationContext=document&amp;vr=3.0&amp;rs=cblt1.0&amp;transitionType=DocumentItem&amp;contextData=(sc.Search)" TargetMode="External"/><Relationship Id="rId45" Type="http://schemas.openxmlformats.org/officeDocument/2006/relationships/hyperlink" Target="http://www.westlaw.com/Link/Document/FullText?findType=Y&amp;serNum=2017629459&amp;pubNum=0004637&amp;originatingDoc=I06415e10744711ec80a0dd05b5817251&amp;refType=RP&amp;fi=co_pp_sp_4637_18&amp;originationContext=document&amp;vr=3.0&amp;rs=cblt1.0&amp;transitionType=DocumentItem&amp;contextData=(sc.Search)" TargetMode="External"/><Relationship Id="rId66"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87" Type="http://schemas.openxmlformats.org/officeDocument/2006/relationships/hyperlink" Target="http://www.westlaw.com/Link/Document/FullText?findType=L&amp;pubNum=1000547&amp;cite=50CFRS424.14&amp;originatingDoc=I06415e10744711ec80a0dd05b5817251&amp;refType=RB&amp;originationContext=document&amp;vr=3.0&amp;rs=cblt1.0&amp;transitionType=DocumentItem&amp;contextData=(sc.Search)" TargetMode="External"/><Relationship Id="rId110" Type="http://schemas.openxmlformats.org/officeDocument/2006/relationships/hyperlink" Target="http://www.westlaw.com/Link/Document/FullText?findType=Y&amp;serNum=2043717331&amp;pubNum=0007903&amp;originatingDoc=I06415e10744711ec80a0dd05b5817251&amp;refType=RP&amp;fi=co_pp_sp_7903_110&amp;originationContext=document&amp;vr=3.0&amp;rs=cblt1.0&amp;transitionType=DocumentItem&amp;contextData=(sc.Search)" TargetMode="External"/><Relationship Id="rId115" Type="http://schemas.openxmlformats.org/officeDocument/2006/relationships/hyperlink" Target="http://www.westlaw.com/Link/Document/FullText?findType=Y&amp;serNum=2004077504&amp;pubNum=0000780&amp;originatingDoc=I06415e10744711ec80a0dd05b5817251&amp;refType=RP&amp;fi=co_pp_sp_780_497&amp;originationContext=document&amp;vr=3.0&amp;rs=cblt1.0&amp;transitionType=DocumentItem&amp;contextData=(sc.Search)" TargetMode="External"/><Relationship Id="rId61" Type="http://schemas.openxmlformats.org/officeDocument/2006/relationships/hyperlink" Target="http://www.westlaw.com/Link/Document/FullText?findType=Y&amp;serNum=2011843426&amp;pubNum=0000780&amp;originatingDoc=I06415e10744711ec80a0dd05b5817251&amp;refType=RP&amp;fi=co_pp_sp_780_517&amp;originationContext=document&amp;vr=3.0&amp;rs=cblt1.0&amp;transitionType=DocumentItem&amp;contextData=(sc.Search)" TargetMode="External"/><Relationship Id="rId82" Type="http://schemas.openxmlformats.org/officeDocument/2006/relationships/hyperlink" Target="http://www.westlaw.com/Link/Document/FullText?findType=Y&amp;serNum=2043717331&amp;pubNum=0007903&amp;originatingDoc=I06415e10744711ec80a0dd05b5817251&amp;refType=RP&amp;fi=co_pp_sp_7903_109&amp;originationContext=document&amp;vr=3.0&amp;rs=cblt1.0&amp;transitionType=DocumentItem&amp;contextData=(sc.Search)" TargetMode="External"/><Relationship Id="rId19"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14" Type="http://schemas.openxmlformats.org/officeDocument/2006/relationships/hyperlink" Target="http://www.westlaw.com/Link/Document/FullText?findType=L&amp;pubNum=1000546&amp;cite=16USCAS1531&amp;originatingDoc=I06415e10744711ec80a0dd05b5817251&amp;refType=RB&amp;originationContext=document&amp;vr=3.0&amp;rs=cblt1.0&amp;transitionType=DocumentItem&amp;contextData=(sc.Search)" TargetMode="External"/><Relationship Id="rId30" Type="http://schemas.openxmlformats.org/officeDocument/2006/relationships/hyperlink" Target="http://www.westlaw.com/Link/Document/FullText?findType=Y&amp;serNum=2043717331&amp;pubNum=0007903&amp;originatingDoc=I06415e10744711ec80a0dd05b5817251&amp;refType=RP&amp;originationContext=document&amp;vr=3.0&amp;rs=cblt1.0&amp;transitionType=DocumentItem&amp;contextData=(sc.Search)" TargetMode="External"/><Relationship Id="rId35" Type="http://schemas.openxmlformats.org/officeDocument/2006/relationships/hyperlink" Target="http://www.westlaw.com/Link/Document/FullText?findType=Y&amp;serNum=2043717331&amp;pubNum=0007903&amp;originatingDoc=I06415e10744711ec80a0dd05b5817251&amp;refType=RP&amp;fi=co_pp_sp_7903_110&amp;originationContext=document&amp;vr=3.0&amp;rs=cblt1.0&amp;transitionType=DocumentItem&amp;contextData=(sc.Search)" TargetMode="External"/><Relationship Id="rId56" Type="http://schemas.openxmlformats.org/officeDocument/2006/relationships/hyperlink" Target="http://www.westlaw.com/Link/Document/FullText?findType=Y&amp;serNum=1996183570&amp;pubNum=0000506&amp;originatingDoc=I06415e10744711ec80a0dd05b5817251&amp;refType=RP&amp;fi=co_pp_sp_506_1232&amp;originationContext=document&amp;vr=3.0&amp;rs=cblt1.0&amp;transitionType=DocumentItem&amp;contextData=(sc.Search)" TargetMode="External"/><Relationship Id="rId77" Type="http://schemas.openxmlformats.org/officeDocument/2006/relationships/hyperlink" Target="http://www.westlaw.com/Link/Document/FullText?findType=l&amp;pubNum=0001037&amp;cite=UUID(I59CFA6C0848011E68ACECFE0191B27BB)&amp;originatingDoc=I06415e10744711ec80a0dd05b5817251&amp;refType=CP&amp;fi=co_pp_sp_1037_66462&amp;originationContext=document&amp;vr=3.0&amp;rs=cblt1.0&amp;transitionType=DocumentItem&amp;contextData=(sc.Search)" TargetMode="External"/><Relationship Id="rId100" Type="http://schemas.openxmlformats.org/officeDocument/2006/relationships/hyperlink" Target="http://www.westlaw.com/Link/Document/FullText?findType=Y&amp;serNum=1983129661&amp;pubNum=0000780&amp;originatingDoc=I06415e10744711ec80a0dd05b5817251&amp;refType=RP&amp;fi=co_pp_sp_780_43&amp;originationContext=document&amp;vr=3.0&amp;rs=cblt1.0&amp;transitionType=DocumentItem&amp;contextData=(sc.Search)" TargetMode="External"/><Relationship Id="rId105" Type="http://schemas.openxmlformats.org/officeDocument/2006/relationships/hyperlink" Target="http://www.westlaw.com/Link/Document/FullText?findType=Y&amp;serNum=1947202069&amp;pubNum=0000780&amp;originatingDoc=I06415e10744711ec80a0dd05b5817251&amp;refType=RP&amp;fi=co_pp_sp_780_196&amp;originationContext=document&amp;vr=3.0&amp;rs=cblt1.0&amp;transitionType=DocumentItem&amp;contextData=(sc.Search)" TargetMode="External"/><Relationship Id="rId126" Type="http://schemas.openxmlformats.org/officeDocument/2006/relationships/hyperlink" Target="http://www.westlaw.com/Link/Document/FullText?findType=Y&amp;serNum=1947202069&amp;pubNum=0000780&amp;originatingDoc=I06415e10744711ec80a0dd05b5817251&amp;refType=RP&amp;fi=co_pp_sp_780_196&amp;originationContext=document&amp;vr=3.0&amp;rs=cblt1.0&amp;transitionType=DocumentItem&amp;contextData=(sc.Search)" TargetMode="External"/><Relationship Id="rId8" Type="http://schemas.openxmlformats.org/officeDocument/2006/relationships/hyperlink" Target="http://www.westlaw.com/Link/Document/FullText?findType=h&amp;pubNum=176284&amp;cite=0329899599&amp;originatingDoc=I06415e10744711ec80a0dd05b5817251&amp;refType=RQ&amp;originationContext=document&amp;vr=3.0&amp;rs=cblt1.0&amp;transitionType=DocumentItem&amp;contextData=(sc.Search)" TargetMode="External"/><Relationship Id="rId51" Type="http://schemas.openxmlformats.org/officeDocument/2006/relationships/hyperlink" Target="http://www.westlaw.com/Link/Document/FullText?findType=Y&amp;serNum=2041798654&amp;pubNum=0000708&amp;originatingDoc=I06415e10744711ec80a0dd05b5817251&amp;refType=RP&amp;fi=co_pp_sp_708_1651&amp;originationContext=document&amp;vr=3.0&amp;rs=cblt1.0&amp;transitionType=DocumentItem&amp;contextData=(sc.Search)" TargetMode="External"/><Relationship Id="rId72" Type="http://schemas.openxmlformats.org/officeDocument/2006/relationships/hyperlink" Target="http://www.westlaw.com/Link/Document/FullText?findType=l&amp;pubNum=0001037&amp;cite=UUID(I59CFA6C0848011E68ACECFE0191B27BB)&amp;originatingDoc=I06415e10744711ec80a0dd05b5817251&amp;refType=CP&amp;fi=co_pp_sp_1037_66462&amp;originationContext=document&amp;vr=3.0&amp;rs=cblt1.0&amp;transitionType=DocumentItem&amp;contextData=(sc.Search)" TargetMode="External"/><Relationship Id="rId93"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98"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121" Type="http://schemas.openxmlformats.org/officeDocument/2006/relationships/hyperlink" Target="http://www.westlaw.com/Link/Document/FullText?findType=Y&amp;serNum=2010237433&amp;pubNum=0004637&amp;originatingDoc=I06415e10744711ec80a0dd05b5817251&amp;refType=RP&amp;fi=co_pp_sp_4637_178&amp;originationContext=document&amp;vr=3.0&amp;rs=cblt1.0&amp;transitionType=DocumentItem&amp;contextData=(sc.Search)" TargetMode="External"/><Relationship Id="rId3" Type="http://schemas.openxmlformats.org/officeDocument/2006/relationships/webSettings" Target="webSettings.xml"/><Relationship Id="rId25"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46" Type="http://schemas.openxmlformats.org/officeDocument/2006/relationships/hyperlink" Target="http://www.westlaw.com/Link/Document/FullText?findType=Y&amp;serNum=1989063360&amp;pubNum=0000780&amp;originatingDoc=I06415e10744711ec80a0dd05b5817251&amp;refType=RP&amp;fi=co_pp_sp_780_377&amp;originationContext=document&amp;vr=3.0&amp;rs=cblt1.0&amp;transitionType=DocumentItem&amp;contextData=(sc.Search)" TargetMode="External"/><Relationship Id="rId67"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116"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20"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41" Type="http://schemas.openxmlformats.org/officeDocument/2006/relationships/hyperlink" Target="http://www.westlaw.com/Link/Document/FullText?findType=Y&amp;serNum=1993065455&amp;pubNum=0000350&amp;originatingDoc=I06415e10744711ec80a0dd05b5817251&amp;refType=RP&amp;fi=co_pp_sp_350_1222&amp;originationContext=document&amp;vr=3.0&amp;rs=cblt1.0&amp;transitionType=DocumentItem&amp;contextData=(sc.Search)" TargetMode="External"/><Relationship Id="rId62" Type="http://schemas.openxmlformats.org/officeDocument/2006/relationships/hyperlink" Target="http://www.westlaw.com/Link/Document/FullText?findType=Y&amp;serNum=2011843426&amp;pubNum=0000780&amp;originatingDoc=I06415e10744711ec80a0dd05b5817251&amp;refType=RP&amp;fi=co_pp_sp_780_518&amp;originationContext=document&amp;vr=3.0&amp;rs=cblt1.0&amp;transitionType=DocumentItem&amp;contextData=(sc.Search)" TargetMode="External"/><Relationship Id="rId83" Type="http://schemas.openxmlformats.org/officeDocument/2006/relationships/hyperlink" Target="http://www.westlaw.com/Link/Document/FullText?findType=Y&amp;serNum=2011260344&amp;pubNum=0000999&amp;originatingDoc=I06415e10744711ec80a0dd05b5817251&amp;refType=RP&amp;fi=co_pp_sp_999_7&amp;originationContext=document&amp;vr=3.0&amp;rs=cblt1.0&amp;transitionType=DocumentItem&amp;contextData=(sc.Search)" TargetMode="External"/><Relationship Id="rId88"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111" Type="http://schemas.openxmlformats.org/officeDocument/2006/relationships/hyperlink" Target="http://www.westlaw.com/Link/Document/FullText?findType=Y&amp;serNum=1983129661&amp;pubNum=0000780&amp;originatingDoc=I06415e10744711ec80a0dd05b5817251&amp;refType=RP&amp;fi=co_pp_sp_780_43&amp;originationContext=document&amp;vr=3.0&amp;rs=cblt1.0&amp;transitionType=DocumentItem&amp;contextData=(sc.Search)" TargetMode="External"/><Relationship Id="rId15" Type="http://schemas.openxmlformats.org/officeDocument/2006/relationships/hyperlink" Target="http://www.westlaw.com/Link/Document/FullText?findType=L&amp;pubNum=1000547&amp;cite=50CFRS402.01&amp;originatingDoc=I06415e10744711ec80a0dd05b5817251&amp;refType=RB&amp;originationContext=document&amp;vr=3.0&amp;rs=cblt1.0&amp;transitionType=DocumentItem&amp;contextData=(sc.Search)" TargetMode="External"/><Relationship Id="rId36" Type="http://schemas.openxmlformats.org/officeDocument/2006/relationships/hyperlink" Target="http://www.westlaw.com/Link/Document/FullText?findType=Y&amp;serNum=2043717331&amp;pubNum=0007903&amp;originatingDoc=I06415e10744711ec80a0dd05b5817251&amp;refType=RP&amp;fi=co_pp_sp_7903_111&amp;originationContext=document&amp;vr=3.0&amp;rs=cblt1.0&amp;transitionType=DocumentItem&amp;contextData=(sc.Search)" TargetMode="External"/><Relationship Id="rId57" Type="http://schemas.openxmlformats.org/officeDocument/2006/relationships/hyperlink" Target="http://www.westlaw.com/Link/Document/FullText?findType=Y&amp;serNum=2041425656&amp;pubNum=0000506&amp;originatingDoc=I06415e10744711ec80a0dd05b5817251&amp;refType=RP&amp;fi=co_pp_sp_506_4&amp;originationContext=document&amp;vr=3.0&amp;rs=cblt1.0&amp;transitionType=DocumentItem&amp;contextData=(sc.Search)" TargetMode="External"/><Relationship Id="rId106" Type="http://schemas.openxmlformats.org/officeDocument/2006/relationships/hyperlink" Target="http://www.westlaw.com/Link/Document/FullText?findType=Y&amp;serNum=2004077504&amp;pubNum=0000780&amp;originatingDoc=I06415e10744711ec80a0dd05b5817251&amp;refType=RP&amp;fi=co_pp_sp_780_497&amp;originationContext=document&amp;vr=3.0&amp;rs=cblt1.0&amp;transitionType=DocumentItem&amp;contextData=(sc.Search)" TargetMode="External"/><Relationship Id="rId127" Type="http://schemas.openxmlformats.org/officeDocument/2006/relationships/fontTable" Target="fontTable.xml"/><Relationship Id="rId10" Type="http://schemas.openxmlformats.org/officeDocument/2006/relationships/hyperlink" Target="http://www.westlaw.com/Link/Document/FullText?findType=Y&amp;serNum=2043717331&amp;pubNum=0007903&amp;originatingDoc=I06415e10744711ec80a0dd05b5817251&amp;refType=RP&amp;fi=co_pp_sp_7903_108&amp;originationContext=document&amp;vr=3.0&amp;rs=cblt1.0&amp;transitionType=DocumentItem&amp;contextData=(sc.Search)" TargetMode="External"/><Relationship Id="rId31" Type="http://schemas.openxmlformats.org/officeDocument/2006/relationships/hyperlink" Target="http://www.westlaw.com/Link/Document/FullText?findType=Y&amp;serNum=2043717331&amp;pubNum=0007903&amp;originatingDoc=I06415e10744711ec80a0dd05b5817251&amp;refType=RP&amp;fi=co_pp_sp_7903_110&amp;originationContext=document&amp;vr=3.0&amp;rs=cblt1.0&amp;transitionType=DocumentItem&amp;contextData=(sc.Search)" TargetMode="External"/><Relationship Id="rId52" Type="http://schemas.openxmlformats.org/officeDocument/2006/relationships/hyperlink" Target="http://www.westlaw.com/Link/Document/FullText?findType=Y&amp;serNum=1977118827&amp;pubNum=0000780&amp;originatingDoc=I06415e10744711ec80a0dd05b5817251&amp;refType=RP&amp;fi=co_pp_sp_780_343&amp;originationContext=document&amp;vr=3.0&amp;rs=cblt1.0&amp;transitionType=DocumentItem&amp;contextData=(sc.Search)" TargetMode="External"/><Relationship Id="rId73" Type="http://schemas.openxmlformats.org/officeDocument/2006/relationships/hyperlink" Target="http://www.westlaw.com/Link/Document/FullText?findType=l&amp;pubNum=0001037&amp;cite=UUID(I59CFA6C0848011E68ACECFE0191B27BB)&amp;originatingDoc=I06415e10744711ec80a0dd05b5817251&amp;refType=CP&amp;fi=co_pp_sp_1037_66462&amp;originationContext=document&amp;vr=3.0&amp;rs=cblt1.0&amp;transitionType=DocumentItem&amp;contextData=(sc.Search)" TargetMode="External"/><Relationship Id="rId78" Type="http://schemas.openxmlformats.org/officeDocument/2006/relationships/hyperlink" Target="http://www.westlaw.com/Link/Document/FullText?findType=l&amp;pubNum=0001037&amp;cite=UUID(I59CFA6C0848011E68ACECFE0191B27BB)&amp;originatingDoc=I06415e10744711ec80a0dd05b5817251&amp;refType=CP&amp;fi=co_pp_sp_1037_66462&amp;originationContext=document&amp;vr=3.0&amp;rs=cblt1.0&amp;transitionType=DocumentItem&amp;contextData=(sc.Search)" TargetMode="External"/><Relationship Id="rId94"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99" Type="http://schemas.openxmlformats.org/officeDocument/2006/relationships/hyperlink" Target="http://www.westlaw.com/Link/Document/FullText?findType=Y&amp;serNum=2043717331&amp;pubNum=0007903&amp;originatingDoc=I06415e10744711ec80a0dd05b5817251&amp;refType=RP&amp;fi=co_pp_sp_7903_110&amp;originationContext=document&amp;vr=3.0&amp;rs=cblt1.0&amp;transitionType=DocumentItem&amp;contextData=(sc.Search)" TargetMode="External"/><Relationship Id="rId101" Type="http://schemas.openxmlformats.org/officeDocument/2006/relationships/hyperlink" Target="http://www.westlaw.com/Link/Document/FullText?findType=Y&amp;serNum=1962127686&amp;pubNum=0000780&amp;originatingDoc=I06415e10744711ec80a0dd05b5817251&amp;refType=RP&amp;fi=co_pp_sp_780_168&amp;originationContext=document&amp;vr=3.0&amp;rs=cblt1.0&amp;transitionType=DocumentItem&amp;contextData=(sc.Search)" TargetMode="External"/><Relationship Id="rId122"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 Id="rId4" Type="http://schemas.openxmlformats.org/officeDocument/2006/relationships/footnotes" Target="footnotes.xml"/><Relationship Id="rId9" Type="http://schemas.openxmlformats.org/officeDocument/2006/relationships/hyperlink" Target="http://www.westlaw.com/Link/Document/FullText?findType=L&amp;pubNum=1000546&amp;cite=16USCAS1533&amp;originatingDoc=I06415e10744711ec80a0dd05b5817251&amp;refType=RB&amp;originationContext=document&amp;vr=3.0&amp;rs=cblt1.0&amp;transitionType=DocumentItem&amp;contextData=(sc.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16959</Words>
  <Characters>89548</Characters>
  <Application>Microsoft Office Word</Application>
  <DocSecurity>0</DocSecurity>
  <Lines>2035</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2022-05-18T14:15:00Z</cp:lastPrinted>
  <dcterms:created xsi:type="dcterms:W3CDTF">2022-05-18T14:15:00Z</dcterms:created>
  <dcterms:modified xsi:type="dcterms:W3CDTF">2022-05-18T14:16:00Z</dcterms:modified>
  <cp:category/>
</cp:coreProperties>
</file>